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4A9F3">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团体标准《大果山楂</w:t>
      </w:r>
      <w:r>
        <w:rPr>
          <w:rFonts w:hint="eastAsia" w:ascii="方正小标宋简体" w:hAnsi="方正小标宋简体" w:eastAsia="方正小标宋简体" w:cs="方正小标宋简体"/>
          <w:sz w:val="44"/>
          <w:szCs w:val="44"/>
          <w:lang w:eastAsia="zh-CN"/>
        </w:rPr>
        <w:t>原浆</w:t>
      </w:r>
      <w:r>
        <w:rPr>
          <w:rFonts w:hint="eastAsia" w:ascii="方正小标宋简体" w:hAnsi="方正小标宋简体" w:eastAsia="方正小标宋简体" w:cs="方正小标宋简体"/>
          <w:sz w:val="44"/>
          <w:szCs w:val="44"/>
        </w:rPr>
        <w:t>》编制说明</w:t>
      </w:r>
    </w:p>
    <w:p w14:paraId="28930BC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p>
    <w:p w14:paraId="4CE063D4">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一、任务来源、起草单位</w:t>
      </w:r>
    </w:p>
    <w:p w14:paraId="1E360D0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广西质量协会关于下达2024年第一批团体标准制修订项目计划的通知》（桂质协字〔2024〕7号）文件精神，由广西壮族自治区林业科学研究院提出，联合广西壮族自治区分析测试研究中心、广西-东盟食品检验检测中心[国家市场监督管理总局技术创新中心（天然香料香精）]、广西中医药研究院、广西中药质量标准研究重点实验室、广西靖西梁鹏食品有限公司、德保县壮宝酒厂有限公司、广西贺州市芬芳果蔬食品有限公司、广西国际商务职业技术学院、广西职业技术学院、广西轻工业科学技术研究院有限公司、广西陇桂投资集团有限公司、广西旅发大健康产业集团有限公司、广西农垦茶业集团有限公司等单位共同起草的团体标准《大果山楂原</w:t>
      </w:r>
      <w:r>
        <w:rPr>
          <w:rFonts w:hint="eastAsia" w:ascii="Times New Roman" w:hAnsi="Times New Roman" w:cs="Times New Roman"/>
          <w:sz w:val="32"/>
          <w:szCs w:val="32"/>
          <w:lang w:val="en-US" w:eastAsia="zh-CN"/>
        </w:rPr>
        <w:t>浆</w:t>
      </w:r>
      <w:r>
        <w:rPr>
          <w:rFonts w:hint="default" w:ascii="Times New Roman" w:hAnsi="Times New Roman" w:eastAsia="仿宋_GB2312" w:cs="Times New Roman"/>
          <w:sz w:val="32"/>
          <w:szCs w:val="32"/>
        </w:rPr>
        <w:t>》（项目编号：广西质量协会2024年第一批团体标准制修订项目计划2024-010</w:t>
      </w:r>
      <w:r>
        <w:rPr>
          <w:rFonts w:hint="eastAsia" w:ascii="Times New Roman" w:hAnsi="Times New Roman" w:cs="Times New Roman"/>
          <w:sz w:val="32"/>
          <w:szCs w:val="32"/>
          <w:lang w:val="en-US" w:eastAsia="zh-CN"/>
        </w:rPr>
        <w:t>1</w:t>
      </w:r>
      <w:r>
        <w:rPr>
          <w:rFonts w:hint="default" w:ascii="Times New Roman" w:hAnsi="Times New Roman" w:eastAsia="仿宋_GB2312" w:cs="Times New Roman"/>
          <w:sz w:val="32"/>
          <w:szCs w:val="32"/>
        </w:rPr>
        <w:t>号）获批立项。</w:t>
      </w:r>
    </w:p>
    <w:p w14:paraId="15711D54">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二、制定标准的必要性和意义</w:t>
      </w:r>
    </w:p>
    <w:p w14:paraId="1431AD7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lang w:val="en-US" w:eastAsia="zh-CN"/>
        </w:rPr>
        <w:t>大果山楂属于蔷薇科（Rosaceae）苹果属（Malus Mill）台湾林檎（Malus doumeri（Bois）Chev.）或光萼林檎Malus leiocalyca S.Z.Huang落叶乔木，，是广西主要的栽培品种</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因其果大而闻名，是我国山楂属中的稀有品种</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与普通山楂相比，</w:t>
      </w:r>
      <w:r>
        <w:rPr>
          <w:rFonts w:hint="eastAsia" w:ascii="Times New Roman" w:hAnsi="Times New Roman" w:cs="Times New Roman"/>
          <w:sz w:val="32"/>
          <w:szCs w:val="32"/>
          <w:lang w:val="en-US" w:eastAsia="zh-CN"/>
        </w:rPr>
        <w:t>其</w:t>
      </w:r>
      <w:r>
        <w:rPr>
          <w:rFonts w:hint="default" w:ascii="Times New Roman" w:hAnsi="Times New Roman" w:cs="Times New Roman"/>
          <w:sz w:val="32"/>
          <w:szCs w:val="32"/>
          <w:lang w:val="en-US" w:eastAsia="zh-CN"/>
        </w:rPr>
        <w:t>单果重、单株产量、品质在全国目前发现的山楂品种中名列首位</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加工与储藏便捷且营养丰富。大果山楂含有</w:t>
      </w:r>
      <w:r>
        <w:rPr>
          <w:rFonts w:hint="eastAsia" w:ascii="Times New Roman" w:hAnsi="Times New Roman" w:cs="Times New Roman"/>
          <w:sz w:val="32"/>
          <w:szCs w:val="32"/>
          <w:lang w:val="en-US" w:eastAsia="zh-CN"/>
        </w:rPr>
        <w:t>普通</w:t>
      </w:r>
      <w:r>
        <w:rPr>
          <w:rFonts w:hint="default" w:ascii="Times New Roman" w:hAnsi="Times New Roman" w:cs="Times New Roman"/>
          <w:sz w:val="32"/>
          <w:szCs w:val="32"/>
          <w:lang w:val="en-US" w:eastAsia="zh-CN"/>
        </w:rPr>
        <w:t>山楂所含的营养成分，其中黄酮含量比北山楂高2倍，有机酸含量高达2.09%。我国的大果山楂栽培已有2000余年历史，现大果山楂主要分布在我国的中部和南部地区，是广西重要的经济林树种。广西北部由东至西从贺州、桂林、柳州、河池、到百色市均有广泛分布，其他地区也有零星分布，特别在百色、河池石漠化地区，分布原生的大果山楂，目前大多处于野生状态，是难得的天然有机食品。德保、靖西</w:t>
      </w:r>
      <w:r>
        <w:rPr>
          <w:rFonts w:hint="default" w:ascii="Times New Roman" w:hAnsi="Times New Roman" w:cs="Times New Roman"/>
          <w:sz w:val="32"/>
          <w:szCs w:val="32"/>
          <w:highlight w:val="none"/>
          <w:lang w:val="en-US" w:eastAsia="zh-CN"/>
        </w:rPr>
        <w:t>、</w:t>
      </w:r>
      <w:r>
        <w:rPr>
          <w:rFonts w:hint="eastAsia" w:ascii="Times New Roman" w:hAnsi="Times New Roman" w:cs="Times New Roman"/>
          <w:sz w:val="32"/>
          <w:szCs w:val="32"/>
          <w:highlight w:val="none"/>
          <w:lang w:val="en-US" w:eastAsia="zh-CN"/>
        </w:rPr>
        <w:t>天峨</w:t>
      </w:r>
      <w:r>
        <w:rPr>
          <w:rFonts w:hint="default" w:ascii="Times New Roman" w:hAnsi="Times New Roman" w:cs="Times New Roman"/>
          <w:sz w:val="32"/>
          <w:szCs w:val="32"/>
          <w:highlight w:val="none"/>
          <w:lang w:val="en-US" w:eastAsia="zh-CN"/>
        </w:rPr>
        <w:t>等地方的大果山楂被认定为中国地理标志产品，获得农业农村部颁发的农产品地理标志登记证书。</w:t>
      </w:r>
    </w:p>
    <w:p w14:paraId="0DD7554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highlight w:val="none"/>
          <w:lang w:val="en-US" w:eastAsia="zh-CN"/>
        </w:rPr>
        <w:t>大果山楂经济效益、生态效益显著，是非常少见的适合在石漠化山区种植的优良树种。近年来，由于大果山楂加工产业的发展，山楂糕、山楂片、山楂酒、山楂醋酸嘢市场需求量剧增，其产业经济效益得到进一步提升，种植大果山楂已成为种植户增加经济效益的有效途径。</w:t>
      </w:r>
      <w:r>
        <w:rPr>
          <w:rFonts w:hint="eastAsia" w:ascii="Times New Roman" w:hAnsi="Times New Roman" w:cs="Times New Roman"/>
          <w:sz w:val="32"/>
          <w:szCs w:val="32"/>
          <w:highlight w:val="none"/>
          <w:lang w:val="en-US" w:eastAsia="zh-CN"/>
        </w:rPr>
        <w:t>大果山楂因其</w:t>
      </w:r>
      <w:r>
        <w:rPr>
          <w:rFonts w:hint="default" w:ascii="Times New Roman" w:hAnsi="Times New Roman" w:cs="Times New Roman"/>
          <w:sz w:val="32"/>
          <w:szCs w:val="32"/>
          <w:highlight w:val="none"/>
          <w:lang w:val="en-US" w:eastAsia="zh-CN"/>
        </w:rPr>
        <w:t>含有较多的有机酸，故口感酸涩，仅少部分用于鲜食，大部分用来加工，还有部分用来提取山楂色素、山楂果胶等。山楂的副产物，如山楂核、山楂叶，因富含黄酮类、三萜类化合物及维生素等成分，也被逐渐挖掘和利用。</w:t>
      </w:r>
      <w:r>
        <w:rPr>
          <w:rFonts w:hint="default" w:ascii="Times New Roman" w:hAnsi="Times New Roman" w:cs="Times New Roman"/>
          <w:sz w:val="32"/>
          <w:szCs w:val="32"/>
          <w:lang w:val="en-US" w:eastAsia="zh-CN"/>
        </w:rPr>
        <w:t>然而，当前大果山楂</w:t>
      </w:r>
      <w:r>
        <w:rPr>
          <w:rFonts w:hint="eastAsia" w:ascii="Times New Roman" w:hAnsi="Times New Roman" w:cs="Times New Roman"/>
          <w:sz w:val="32"/>
          <w:szCs w:val="32"/>
          <w:lang w:val="en-US" w:eastAsia="zh-CN"/>
        </w:rPr>
        <w:t>原浆</w:t>
      </w:r>
      <w:r>
        <w:rPr>
          <w:rFonts w:hint="default" w:ascii="Times New Roman" w:hAnsi="Times New Roman" w:cs="Times New Roman"/>
          <w:sz w:val="32"/>
          <w:szCs w:val="32"/>
          <w:lang w:val="en-US" w:eastAsia="zh-CN"/>
        </w:rPr>
        <w:t>产业在发展过程中面临诸多问题</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highlight w:val="none"/>
          <w:lang w:val="en-US" w:eastAsia="zh-CN"/>
        </w:rPr>
        <w:t>相对于</w:t>
      </w:r>
      <w:r>
        <w:rPr>
          <w:rFonts w:hint="eastAsia" w:ascii="Times New Roman" w:hAnsi="Times New Roman" w:cs="Times New Roman"/>
          <w:sz w:val="32"/>
          <w:szCs w:val="32"/>
          <w:highlight w:val="none"/>
          <w:lang w:val="en-US" w:eastAsia="zh-CN"/>
        </w:rPr>
        <w:t>山东、河北、山西等地普通</w:t>
      </w:r>
      <w:r>
        <w:rPr>
          <w:rFonts w:hint="default" w:ascii="Times New Roman" w:hAnsi="Times New Roman" w:cs="Times New Roman"/>
          <w:sz w:val="32"/>
          <w:szCs w:val="32"/>
          <w:highlight w:val="none"/>
          <w:lang w:val="en-US" w:eastAsia="zh-CN"/>
        </w:rPr>
        <w:t>山楂</w:t>
      </w:r>
      <w:r>
        <w:rPr>
          <w:rFonts w:hint="eastAsia" w:ascii="Times New Roman" w:hAnsi="Times New Roman" w:cs="Times New Roman"/>
          <w:sz w:val="32"/>
          <w:szCs w:val="32"/>
          <w:highlight w:val="none"/>
          <w:lang w:val="en-US" w:eastAsia="zh-CN"/>
        </w:rPr>
        <w:t>的产能及产量，</w:t>
      </w:r>
      <w:r>
        <w:rPr>
          <w:rFonts w:hint="default" w:ascii="Times New Roman" w:hAnsi="Times New Roman" w:cs="Times New Roman"/>
          <w:sz w:val="32"/>
          <w:szCs w:val="32"/>
          <w:highlight w:val="none"/>
          <w:lang w:val="en-US" w:eastAsia="zh-CN"/>
        </w:rPr>
        <w:t>大果山楂产业的发展</w:t>
      </w:r>
      <w:r>
        <w:rPr>
          <w:rFonts w:hint="eastAsia" w:ascii="Times New Roman" w:hAnsi="Times New Roman" w:cs="Times New Roman"/>
          <w:sz w:val="32"/>
          <w:szCs w:val="32"/>
          <w:highlight w:val="none"/>
          <w:lang w:val="en-US" w:eastAsia="zh-CN"/>
        </w:rPr>
        <w:t>远远落后</w:t>
      </w:r>
      <w:r>
        <w:rPr>
          <w:rFonts w:hint="default" w:ascii="Times New Roman" w:hAnsi="Times New Roman" w:cs="Times New Roman"/>
          <w:sz w:val="32"/>
          <w:szCs w:val="32"/>
          <w:highlight w:val="none"/>
          <w:lang w:val="en-US" w:eastAsia="zh-CN"/>
        </w:rPr>
        <w:t>，</w:t>
      </w:r>
      <w:r>
        <w:rPr>
          <w:rFonts w:hint="eastAsia" w:ascii="Times New Roman" w:hAnsi="Times New Roman" w:cs="Times New Roman"/>
          <w:sz w:val="32"/>
          <w:szCs w:val="32"/>
          <w:highlight w:val="none"/>
          <w:lang w:val="en-US" w:eastAsia="zh-CN"/>
        </w:rPr>
        <w:t>其中</w:t>
      </w:r>
      <w:r>
        <w:rPr>
          <w:rFonts w:hint="default" w:ascii="Times New Roman" w:hAnsi="Times New Roman" w:cs="Times New Roman"/>
          <w:sz w:val="32"/>
          <w:szCs w:val="32"/>
          <w:highlight w:val="none"/>
          <w:lang w:val="en-US" w:eastAsia="zh-CN"/>
        </w:rPr>
        <w:t>制约广西大果山楂产业发展的核心问题</w:t>
      </w:r>
      <w:r>
        <w:rPr>
          <w:rFonts w:hint="eastAsia" w:ascii="Times New Roman" w:hAnsi="Times New Roman" w:cs="Times New Roman"/>
          <w:sz w:val="32"/>
          <w:szCs w:val="32"/>
          <w:highlight w:val="none"/>
          <w:lang w:val="en-US" w:eastAsia="zh-CN"/>
        </w:rPr>
        <w:t>之一</w:t>
      </w:r>
      <w:r>
        <w:rPr>
          <w:rFonts w:hint="default" w:ascii="Times New Roman" w:hAnsi="Times New Roman" w:cs="Times New Roman"/>
          <w:sz w:val="32"/>
          <w:szCs w:val="32"/>
          <w:highlight w:val="none"/>
          <w:lang w:val="en-US" w:eastAsia="zh-CN"/>
        </w:rPr>
        <w:t>是加工产品单一，</w:t>
      </w:r>
      <w:r>
        <w:rPr>
          <w:rFonts w:hint="eastAsia" w:ascii="Times New Roman" w:hAnsi="Times New Roman" w:cs="Times New Roman"/>
          <w:sz w:val="32"/>
          <w:szCs w:val="32"/>
          <w:highlight w:val="none"/>
          <w:lang w:val="en-US" w:eastAsia="zh-CN"/>
        </w:rPr>
        <w:t>传统的大果山楂加工产品主要有山楂糕、山楂</w:t>
      </w:r>
      <w:r>
        <w:rPr>
          <w:rFonts w:hint="eastAsia" w:ascii="Times New Roman" w:hAnsi="Times New Roman" w:cs="Times New Roman"/>
          <w:sz w:val="32"/>
          <w:szCs w:val="32"/>
          <w:lang w:val="en-US" w:eastAsia="zh-CN"/>
        </w:rPr>
        <w:t>片、蜜饯等，销量有限，且</w:t>
      </w:r>
      <w:r>
        <w:rPr>
          <w:rFonts w:hint="default" w:ascii="Times New Roman" w:hAnsi="Times New Roman" w:cs="Times New Roman"/>
          <w:sz w:val="32"/>
          <w:szCs w:val="32"/>
          <w:highlight w:val="none"/>
          <w:lang w:val="en-US" w:eastAsia="zh-CN"/>
        </w:rPr>
        <w:t>缺乏符合现代人消费习惯的新形态的产品，产品质量参差不齐，</w:t>
      </w:r>
      <w:r>
        <w:rPr>
          <w:rFonts w:hint="default" w:ascii="Times New Roman" w:hAnsi="Times New Roman" w:cs="Times New Roman"/>
          <w:sz w:val="32"/>
          <w:szCs w:val="32"/>
          <w:lang w:val="en-US" w:eastAsia="zh-CN"/>
        </w:rPr>
        <w:t>随着人们健康意识的提高和对天然饮品需求的增加，</w:t>
      </w:r>
      <w:r>
        <w:rPr>
          <w:rFonts w:hint="eastAsia" w:ascii="Times New Roman" w:hAnsi="Times New Roman" w:cs="Times New Roman"/>
          <w:sz w:val="32"/>
          <w:szCs w:val="32"/>
          <w:lang w:val="en-US" w:eastAsia="zh-CN"/>
        </w:rPr>
        <w:t>更多的大果山楂产品被开发出来，大果山楂原浆就是其中之一。</w:t>
      </w:r>
      <w:r>
        <w:rPr>
          <w:rFonts w:hint="default" w:ascii="Times New Roman" w:hAnsi="Times New Roman" w:cs="Times New Roman"/>
          <w:sz w:val="32"/>
          <w:szCs w:val="32"/>
          <w:lang w:val="en-US" w:eastAsia="zh-CN"/>
        </w:rPr>
        <w:t>大果山楂原</w:t>
      </w:r>
      <w:r>
        <w:rPr>
          <w:rFonts w:hint="eastAsia" w:ascii="Times New Roman" w:hAnsi="Times New Roman" w:cs="Times New Roman"/>
          <w:sz w:val="32"/>
          <w:szCs w:val="32"/>
          <w:lang w:val="en-US" w:eastAsia="zh-CN"/>
        </w:rPr>
        <w:t>浆产品</w:t>
      </w:r>
      <w:r>
        <w:rPr>
          <w:rFonts w:hint="default" w:ascii="Times New Roman" w:hAnsi="Times New Roman" w:cs="Times New Roman"/>
          <w:sz w:val="32"/>
          <w:szCs w:val="32"/>
          <w:lang w:val="en-US" w:eastAsia="zh-CN"/>
        </w:rPr>
        <w:t>可</w:t>
      </w:r>
      <w:r>
        <w:rPr>
          <w:rFonts w:hint="eastAsia" w:ascii="Times New Roman" w:hAnsi="Times New Roman" w:cs="Times New Roman"/>
          <w:sz w:val="32"/>
          <w:szCs w:val="32"/>
          <w:lang w:val="en-US" w:eastAsia="zh-CN"/>
        </w:rPr>
        <w:t>广泛用于其他食品生产加工过程，例如作为烘焙原料、调味剂等用于</w:t>
      </w:r>
      <w:r>
        <w:rPr>
          <w:rFonts w:hint="default" w:ascii="Times New Roman" w:hAnsi="Times New Roman" w:cs="Times New Roman"/>
          <w:sz w:val="32"/>
          <w:szCs w:val="32"/>
          <w:lang w:val="en-US" w:eastAsia="zh-CN"/>
        </w:rPr>
        <w:t>奶茶、冰激凌、面包、糕点，烹饪调味</w:t>
      </w:r>
      <w:r>
        <w:rPr>
          <w:rFonts w:hint="eastAsia" w:ascii="Times New Roman" w:hAnsi="Times New Roman" w:cs="Times New Roman"/>
          <w:sz w:val="32"/>
          <w:szCs w:val="32"/>
          <w:lang w:val="en-US" w:eastAsia="zh-CN"/>
        </w:rPr>
        <w:t>料</w:t>
      </w:r>
      <w:r>
        <w:rPr>
          <w:rFonts w:hint="default" w:ascii="Times New Roman" w:hAnsi="Times New Roman" w:cs="Times New Roman"/>
          <w:sz w:val="32"/>
          <w:szCs w:val="32"/>
          <w:lang w:val="en-US" w:eastAsia="zh-CN"/>
        </w:rPr>
        <w:t>等食品的加工</w:t>
      </w:r>
      <w:r>
        <w:rPr>
          <w:rFonts w:hint="eastAsia" w:ascii="Times New Roman" w:hAnsi="Times New Roman" w:cs="Times New Roman"/>
          <w:sz w:val="32"/>
          <w:szCs w:val="32"/>
          <w:lang w:val="en-US" w:eastAsia="zh-CN"/>
        </w:rPr>
        <w:t>过程。</w:t>
      </w:r>
    </w:p>
    <w:p w14:paraId="1AC926D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制定《大果山楂原</w:t>
      </w:r>
      <w:r>
        <w:rPr>
          <w:rFonts w:hint="eastAsia" w:ascii="Times New Roman" w:hAnsi="Times New Roman" w:cs="Times New Roman"/>
          <w:sz w:val="32"/>
          <w:szCs w:val="32"/>
          <w:lang w:val="en-US" w:eastAsia="zh-CN"/>
        </w:rPr>
        <w:t>浆</w:t>
      </w:r>
      <w:r>
        <w:rPr>
          <w:rFonts w:hint="default" w:ascii="Times New Roman" w:hAnsi="Times New Roman" w:cs="Times New Roman"/>
          <w:sz w:val="32"/>
          <w:szCs w:val="32"/>
          <w:lang w:val="en-US" w:eastAsia="zh-CN"/>
        </w:rPr>
        <w:t>》团体标准有助于规范大果山楂原</w:t>
      </w:r>
      <w:r>
        <w:rPr>
          <w:rFonts w:hint="eastAsia" w:ascii="Times New Roman" w:hAnsi="Times New Roman" w:cs="Times New Roman"/>
          <w:sz w:val="32"/>
          <w:szCs w:val="32"/>
          <w:lang w:val="en-US" w:eastAsia="zh-CN"/>
        </w:rPr>
        <w:t>浆</w:t>
      </w:r>
      <w:r>
        <w:rPr>
          <w:rFonts w:hint="default" w:ascii="Times New Roman" w:hAnsi="Times New Roman" w:cs="Times New Roman"/>
          <w:sz w:val="32"/>
          <w:szCs w:val="32"/>
          <w:lang w:val="en-US" w:eastAsia="zh-CN"/>
        </w:rPr>
        <w:t>的生产加工过程，提高产品质量，提升产业整体竞争力</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有助于加强市场监管，打击假冒伪劣产品，维护公平竞争的市场环境</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保障消费者的合法权益</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能够促进大果山楂产业的规模化发展，带动农民增收。此外，产业的发展还将带动种植、加工、销售等相关环节的协同发展，创造更多的就业机会，促进地方经济的繁荣。《大果山楂</w:t>
      </w:r>
      <w:r>
        <w:rPr>
          <w:rFonts w:hint="eastAsia" w:ascii="Times New Roman" w:hAnsi="Times New Roman" w:cs="Times New Roman"/>
          <w:sz w:val="32"/>
          <w:szCs w:val="32"/>
          <w:lang w:val="en-US" w:eastAsia="zh-CN"/>
        </w:rPr>
        <w:t>原浆</w:t>
      </w:r>
      <w:r>
        <w:rPr>
          <w:rFonts w:hint="default" w:ascii="Times New Roman" w:hAnsi="Times New Roman" w:cs="Times New Roman"/>
          <w:sz w:val="32"/>
          <w:szCs w:val="32"/>
          <w:lang w:val="en-US" w:eastAsia="zh-CN"/>
        </w:rPr>
        <w:t>》团体标准的实施对于促进广西大果山楂产业可持续发展具有重要意义。</w:t>
      </w:r>
    </w:p>
    <w:p w14:paraId="575F83A0">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三、主要起草过程</w:t>
      </w:r>
    </w:p>
    <w:p w14:paraId="3D2DB073">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（一）成立标准编制工作组</w:t>
      </w:r>
    </w:p>
    <w:p w14:paraId="2DB644D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项目立项后，广西壮族自治区林业科学研究院</w:t>
      </w:r>
      <w:r>
        <w:rPr>
          <w:rFonts w:hint="eastAsia" w:ascii="Times New Roman" w:hAnsi="Times New Roman" w:cs="Times New Roman"/>
          <w:sz w:val="32"/>
          <w:szCs w:val="32"/>
          <w:lang w:val="en-US" w:eastAsia="zh-CN"/>
        </w:rPr>
        <w:t>牵头</w:t>
      </w:r>
      <w:r>
        <w:rPr>
          <w:rFonts w:hint="default" w:ascii="Times New Roman" w:hAnsi="Times New Roman" w:eastAsia="仿宋_GB2312" w:cs="Times New Roman"/>
          <w:sz w:val="32"/>
          <w:szCs w:val="32"/>
        </w:rPr>
        <w:t>成立了标准编制工作组，制定了起草编写方案和进度安排，明确任务职责，确定工作技术路线，开展标准研制工作，具体标准编制工作由广西壮族自治区林业科学研究院、广西壮族自治区分析测试研究中心、广西-东盟食品检验检测中心[国家市场监督管理总局技术创新中心（天然香料香精）]、广西中医药研究院、广西中药质量标准研究重点实验室、广西靖西梁鹏食品有限公司、德保县壮宝酒厂有限公司、广西贺州市芬芳果蔬食品有限公司、广西国际商务职业技术学院、广西职业技术学院、广西轻工业科学技术研究院有限公司、广西陇桂投资集团有限公司、广西旅发大健康产业集团有限公司、广西农垦茶业集团有限公司等单位</w:t>
      </w:r>
      <w:r>
        <w:rPr>
          <w:rFonts w:hint="default" w:ascii="Times New Roman" w:hAnsi="Times New Roman" w:eastAsia="仿宋_GB2312" w:cs="Times New Roman"/>
          <w:sz w:val="32"/>
          <w:szCs w:val="32"/>
          <w:lang w:val="en-US" w:eastAsia="zh-CN"/>
        </w:rPr>
        <w:t>相关人员</w:t>
      </w:r>
      <w:r>
        <w:rPr>
          <w:rFonts w:hint="default" w:ascii="Times New Roman" w:hAnsi="Times New Roman" w:eastAsia="仿宋_GB2312" w:cs="Times New Roman"/>
          <w:sz w:val="32"/>
          <w:szCs w:val="32"/>
        </w:rPr>
        <w:t>开展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包括</w:t>
      </w:r>
      <w:r>
        <w:rPr>
          <w:rFonts w:hint="default" w:ascii="Times New Roman" w:hAnsi="Times New Roman" w:eastAsia="仿宋_GB2312" w:cs="Times New Roman"/>
          <w:sz w:val="32"/>
          <w:szCs w:val="32"/>
        </w:rPr>
        <w:t>收集</w:t>
      </w:r>
      <w:r>
        <w:rPr>
          <w:rFonts w:hint="eastAsia" w:ascii="Times New Roman" w:hAnsi="Times New Roman" w:cs="Times New Roman"/>
          <w:sz w:val="32"/>
          <w:szCs w:val="32"/>
          <w:lang w:val="en-US" w:eastAsia="zh-CN"/>
        </w:rPr>
        <w:t>大果山楂种植情况、大果山楂加工品</w:t>
      </w:r>
      <w:r>
        <w:rPr>
          <w:rFonts w:hint="default" w:ascii="Times New Roman" w:hAnsi="Times New Roman" w:eastAsia="仿宋_GB2312" w:cs="Times New Roman"/>
          <w:sz w:val="32"/>
          <w:szCs w:val="32"/>
          <w:lang w:val="en-US" w:eastAsia="zh-CN"/>
        </w:rPr>
        <w:t>发展现状、</w:t>
      </w:r>
      <w:r>
        <w:rPr>
          <w:rFonts w:hint="eastAsia" w:ascii="Times New Roman" w:hAnsi="Times New Roman" w:cs="Times New Roman"/>
          <w:sz w:val="32"/>
          <w:szCs w:val="32"/>
          <w:lang w:val="en-US" w:eastAsia="zh-CN"/>
        </w:rPr>
        <w:t>相关水果原浆</w:t>
      </w:r>
      <w:r>
        <w:rPr>
          <w:rFonts w:hint="default" w:ascii="Times New Roman" w:hAnsi="Times New Roman" w:eastAsia="仿宋_GB2312" w:cs="Times New Roman"/>
          <w:sz w:val="32"/>
          <w:szCs w:val="32"/>
          <w:lang w:val="en-US" w:eastAsia="zh-CN"/>
        </w:rPr>
        <w:t>制品标准等</w:t>
      </w:r>
      <w:r>
        <w:rPr>
          <w:rFonts w:hint="default" w:ascii="Times New Roman" w:hAnsi="Times New Roman" w:eastAsia="仿宋_GB2312" w:cs="Times New Roman"/>
          <w:color w:val="000000"/>
          <w:spacing w:val="2"/>
          <w:sz w:val="32"/>
          <w:szCs w:val="32"/>
        </w:rPr>
        <w:t>文献资料</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组织</w:t>
      </w:r>
      <w:r>
        <w:rPr>
          <w:rFonts w:hint="default" w:ascii="Times New Roman" w:hAnsi="Times New Roman" w:eastAsia="仿宋_GB2312" w:cs="Times New Roman"/>
          <w:sz w:val="32"/>
          <w:szCs w:val="32"/>
        </w:rPr>
        <w:t>技术调研、编写草案等工作。</w:t>
      </w:r>
    </w:p>
    <w:p w14:paraId="694709F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val="en-US" w:eastAsia="zh-CN"/>
        </w:rPr>
        <w:t>大果山楂原浆团体</w:t>
      </w:r>
      <w:r>
        <w:rPr>
          <w:rFonts w:hint="default" w:ascii="Times New Roman" w:hAnsi="Times New Roman" w:eastAsia="仿宋_GB2312" w:cs="Times New Roman"/>
          <w:sz w:val="32"/>
          <w:szCs w:val="32"/>
          <w:lang w:eastAsia="zh-CN"/>
        </w:rPr>
        <w:t>标准主要起草人员</w:t>
      </w:r>
    </w:p>
    <w:tbl>
      <w:tblPr>
        <w:tblStyle w:val="5"/>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401"/>
        <w:gridCol w:w="1861"/>
        <w:gridCol w:w="2564"/>
        <w:gridCol w:w="2801"/>
      </w:tblGrid>
      <w:tr w14:paraId="2EA7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176" w:type="dxa"/>
            <w:vAlign w:val="center"/>
          </w:tcPr>
          <w:p w14:paraId="4384B58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研 制</w:t>
            </w:r>
          </w:p>
          <w:p w14:paraId="6A2892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 员</w:t>
            </w:r>
          </w:p>
        </w:tc>
        <w:tc>
          <w:tcPr>
            <w:tcW w:w="1401" w:type="dxa"/>
            <w:vAlign w:val="center"/>
          </w:tcPr>
          <w:p w14:paraId="6C122B3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姓名</w:t>
            </w:r>
          </w:p>
        </w:tc>
        <w:tc>
          <w:tcPr>
            <w:tcW w:w="1861" w:type="dxa"/>
            <w:vAlign w:val="center"/>
          </w:tcPr>
          <w:p w14:paraId="27EB85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职务/职称</w:t>
            </w:r>
          </w:p>
        </w:tc>
        <w:tc>
          <w:tcPr>
            <w:tcW w:w="2564" w:type="dxa"/>
            <w:vAlign w:val="center"/>
          </w:tcPr>
          <w:p w14:paraId="24580F4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现从事</w:t>
            </w:r>
          </w:p>
          <w:p w14:paraId="44E638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专  业</w:t>
            </w:r>
          </w:p>
        </w:tc>
        <w:tc>
          <w:tcPr>
            <w:tcW w:w="2801" w:type="dxa"/>
            <w:vAlign w:val="center"/>
          </w:tcPr>
          <w:p w14:paraId="0A2D7F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所在单位</w:t>
            </w:r>
          </w:p>
        </w:tc>
      </w:tr>
      <w:tr w14:paraId="6F5B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6" w:type="dxa"/>
            <w:vAlign w:val="center"/>
          </w:tcPr>
          <w:p w14:paraId="66FCA75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  目</w:t>
            </w:r>
          </w:p>
          <w:p w14:paraId="3D436A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负责人</w:t>
            </w:r>
          </w:p>
        </w:tc>
        <w:tc>
          <w:tcPr>
            <w:tcW w:w="1401" w:type="dxa"/>
            <w:vAlign w:val="center"/>
          </w:tcPr>
          <w:p w14:paraId="28FECAD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李军集</w:t>
            </w:r>
          </w:p>
        </w:tc>
        <w:tc>
          <w:tcPr>
            <w:tcW w:w="1861" w:type="dxa"/>
            <w:vAlign w:val="center"/>
          </w:tcPr>
          <w:p w14:paraId="7A4BE9B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高级工程师</w:t>
            </w:r>
          </w:p>
        </w:tc>
        <w:tc>
          <w:tcPr>
            <w:tcW w:w="2564" w:type="dxa"/>
            <w:vAlign w:val="center"/>
          </w:tcPr>
          <w:p w14:paraId="5982D97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林产化工</w:t>
            </w:r>
          </w:p>
        </w:tc>
        <w:tc>
          <w:tcPr>
            <w:tcW w:w="2801" w:type="dxa"/>
            <w:vAlign w:val="center"/>
          </w:tcPr>
          <w:p w14:paraId="476686F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广西壮族自治区林业科学研究院</w:t>
            </w:r>
          </w:p>
        </w:tc>
      </w:tr>
      <w:tr w14:paraId="653A2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restart"/>
            <w:vAlign w:val="center"/>
          </w:tcPr>
          <w:p w14:paraId="778307E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w:t>
            </w:r>
          </w:p>
          <w:p w14:paraId="70DE78F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要</w:t>
            </w:r>
          </w:p>
          <w:p w14:paraId="1DE1CA9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w:t>
            </w:r>
          </w:p>
          <w:p w14:paraId="7ED526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加</w:t>
            </w:r>
          </w:p>
          <w:p w14:paraId="327F3CF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w:t>
            </w:r>
          </w:p>
          <w:p w14:paraId="3747FA6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员</w:t>
            </w:r>
          </w:p>
        </w:tc>
        <w:tc>
          <w:tcPr>
            <w:tcW w:w="1401" w:type="dxa"/>
            <w:shd w:val="clear" w:color="auto" w:fill="auto"/>
            <w:vAlign w:val="center"/>
          </w:tcPr>
          <w:p w14:paraId="0A7E2326">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高璇</w:t>
            </w:r>
          </w:p>
        </w:tc>
        <w:tc>
          <w:tcPr>
            <w:tcW w:w="1861" w:type="dxa"/>
            <w:shd w:val="clear" w:color="auto" w:fill="auto"/>
            <w:vAlign w:val="center"/>
          </w:tcPr>
          <w:p w14:paraId="7645C5D3">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工程师</w:t>
            </w:r>
          </w:p>
        </w:tc>
        <w:tc>
          <w:tcPr>
            <w:tcW w:w="2564" w:type="dxa"/>
            <w:shd w:val="clear" w:color="auto" w:fill="auto"/>
            <w:vAlign w:val="center"/>
          </w:tcPr>
          <w:p w14:paraId="7EB5392C">
            <w:pPr>
              <w:jc w:val="center"/>
              <w:rPr>
                <w:rFonts w:hint="default" w:ascii="Calibri" w:hAnsi="Calibri" w:eastAsia="仿宋_GB2312" w:cs="Times New Roman"/>
                <w:kern w:val="2"/>
                <w:sz w:val="28"/>
                <w:szCs w:val="28"/>
                <w:lang w:val="en-US" w:eastAsia="zh-CN" w:bidi="ar-SA"/>
              </w:rPr>
            </w:pPr>
            <w:r>
              <w:rPr>
                <w:rFonts w:hint="eastAsia" w:ascii="Times New Roman" w:hAnsi="Times New Roman" w:cs="Times New Roman"/>
                <w:sz w:val="28"/>
                <w:szCs w:val="28"/>
                <w:lang w:val="en-US" w:eastAsia="zh-CN"/>
              </w:rPr>
              <w:t>天然产物研究</w:t>
            </w:r>
          </w:p>
        </w:tc>
        <w:tc>
          <w:tcPr>
            <w:tcW w:w="2801" w:type="dxa"/>
            <w:shd w:val="clear" w:color="auto" w:fill="auto"/>
            <w:vAlign w:val="center"/>
          </w:tcPr>
          <w:p w14:paraId="212648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rPr>
              <w:t>广西壮族自治区林业科学研究院</w:t>
            </w:r>
          </w:p>
        </w:tc>
      </w:tr>
      <w:tr w14:paraId="4D1F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16CAED8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58C79028">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林葵</w:t>
            </w:r>
          </w:p>
        </w:tc>
        <w:tc>
          <w:tcPr>
            <w:tcW w:w="1861" w:type="dxa"/>
            <w:shd w:val="clear" w:color="auto" w:fill="auto"/>
            <w:vAlign w:val="center"/>
          </w:tcPr>
          <w:p w14:paraId="56C22C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教授级高级</w:t>
            </w:r>
            <w:r>
              <w:rPr>
                <w:rFonts w:hint="eastAsia" w:ascii="Times New Roman" w:hAnsi="Times New Roman" w:eastAsia="仿宋_GB2312" w:cs="Times New Roman"/>
                <w:sz w:val="28"/>
                <w:szCs w:val="28"/>
                <w:lang w:val="en-US" w:eastAsia="zh-CN"/>
              </w:rPr>
              <w:t>工程师</w:t>
            </w:r>
          </w:p>
        </w:tc>
        <w:tc>
          <w:tcPr>
            <w:tcW w:w="2564" w:type="dxa"/>
            <w:shd w:val="clear" w:color="auto" w:fill="auto"/>
            <w:vAlign w:val="center"/>
          </w:tcPr>
          <w:p w14:paraId="09BCA52D">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化学分析</w:t>
            </w:r>
          </w:p>
        </w:tc>
        <w:tc>
          <w:tcPr>
            <w:tcW w:w="2801" w:type="dxa"/>
            <w:shd w:val="clear" w:color="auto" w:fill="auto"/>
            <w:vAlign w:val="center"/>
          </w:tcPr>
          <w:p w14:paraId="297905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rPr>
              <w:t>广西壮族自治区</w:t>
            </w:r>
            <w:r>
              <w:rPr>
                <w:rFonts w:hint="eastAsia" w:ascii="Times New Roman" w:hAnsi="Times New Roman" w:cs="Times New Roman"/>
                <w:sz w:val="28"/>
                <w:szCs w:val="28"/>
                <w:lang w:val="en-US" w:eastAsia="zh-CN"/>
              </w:rPr>
              <w:t>分析测试研究中心</w:t>
            </w:r>
          </w:p>
        </w:tc>
      </w:tr>
      <w:tr w14:paraId="5378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3CA9454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2A885D4F">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袁健童</w:t>
            </w:r>
          </w:p>
        </w:tc>
        <w:tc>
          <w:tcPr>
            <w:tcW w:w="1861" w:type="dxa"/>
            <w:shd w:val="clear" w:color="auto" w:fill="auto"/>
            <w:vAlign w:val="center"/>
          </w:tcPr>
          <w:p w14:paraId="143060AA">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助理研究员</w:t>
            </w:r>
          </w:p>
        </w:tc>
        <w:tc>
          <w:tcPr>
            <w:tcW w:w="2564" w:type="dxa"/>
            <w:shd w:val="clear" w:color="auto" w:fill="auto"/>
            <w:vAlign w:val="center"/>
          </w:tcPr>
          <w:p w14:paraId="5CE679C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ascii="Times New Roman" w:hAnsi="Times New Roman" w:eastAsia="仿宋_GB2312" w:cs="Times New Roman"/>
                <w:sz w:val="28"/>
                <w:szCs w:val="28"/>
              </w:rPr>
              <w:t>中药民族药质量标准研究</w:t>
            </w:r>
          </w:p>
        </w:tc>
        <w:tc>
          <w:tcPr>
            <w:tcW w:w="2801" w:type="dxa"/>
            <w:shd w:val="clear" w:color="auto" w:fill="auto"/>
            <w:vAlign w:val="center"/>
          </w:tcPr>
          <w:p w14:paraId="2ADC3FB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广西中药质量标准研究重点实验室</w:t>
            </w:r>
          </w:p>
        </w:tc>
      </w:tr>
      <w:tr w14:paraId="2027B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5DA96B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2B537297">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韦升坚</w:t>
            </w:r>
          </w:p>
        </w:tc>
        <w:tc>
          <w:tcPr>
            <w:tcW w:w="1861" w:type="dxa"/>
            <w:shd w:val="clear" w:color="auto" w:fill="auto"/>
            <w:vAlign w:val="center"/>
          </w:tcPr>
          <w:p w14:paraId="07E3F362">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高级工程师</w:t>
            </w:r>
          </w:p>
        </w:tc>
        <w:tc>
          <w:tcPr>
            <w:tcW w:w="2564" w:type="dxa"/>
            <w:shd w:val="clear" w:color="auto" w:fill="auto"/>
            <w:vAlign w:val="center"/>
          </w:tcPr>
          <w:p w14:paraId="480C913E">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化学分析</w:t>
            </w:r>
          </w:p>
        </w:tc>
        <w:tc>
          <w:tcPr>
            <w:tcW w:w="2801" w:type="dxa"/>
            <w:shd w:val="clear" w:color="auto" w:fill="auto"/>
            <w:vAlign w:val="center"/>
          </w:tcPr>
          <w:p w14:paraId="2CF077D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广西-东盟食品检验检测中心</w:t>
            </w:r>
          </w:p>
        </w:tc>
      </w:tr>
      <w:tr w14:paraId="530E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192F23B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2D8F0A88">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林一雄</w:t>
            </w:r>
          </w:p>
        </w:tc>
        <w:tc>
          <w:tcPr>
            <w:tcW w:w="1861" w:type="dxa"/>
            <w:shd w:val="clear" w:color="auto" w:fill="auto"/>
            <w:vAlign w:val="center"/>
          </w:tcPr>
          <w:p w14:paraId="3DAA8EA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教授级高级工程师</w:t>
            </w:r>
          </w:p>
        </w:tc>
        <w:tc>
          <w:tcPr>
            <w:tcW w:w="2564" w:type="dxa"/>
            <w:shd w:val="clear" w:color="auto" w:fill="auto"/>
            <w:vAlign w:val="center"/>
          </w:tcPr>
          <w:p w14:paraId="51EB4053">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食品加工</w:t>
            </w:r>
          </w:p>
        </w:tc>
        <w:tc>
          <w:tcPr>
            <w:tcW w:w="2801" w:type="dxa"/>
            <w:shd w:val="clear" w:color="auto" w:fill="auto"/>
            <w:vAlign w:val="center"/>
          </w:tcPr>
          <w:p w14:paraId="525BF09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广西轻工业科学技术研究院有限公司</w:t>
            </w:r>
          </w:p>
        </w:tc>
      </w:tr>
      <w:tr w14:paraId="663B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285060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1E35A6EA">
            <w:pPr>
              <w:jc w:val="center"/>
              <w:rPr>
                <w:rFonts w:hint="default" w:ascii="Calibri" w:hAnsi="Calibri" w:eastAsia="仿宋_GB2312" w:cs="Times New Roman"/>
                <w:kern w:val="2"/>
                <w:sz w:val="28"/>
                <w:szCs w:val="28"/>
                <w:lang w:val="en-US" w:eastAsia="zh-CN" w:bidi="ar-SA"/>
              </w:rPr>
            </w:pPr>
            <w:r>
              <w:rPr>
                <w:rFonts w:hint="eastAsia"/>
                <w:sz w:val="28"/>
                <w:szCs w:val="28"/>
                <w:lang w:val="en-US" w:eastAsia="zh-CN"/>
              </w:rPr>
              <w:t>黄璐璐</w:t>
            </w:r>
          </w:p>
        </w:tc>
        <w:tc>
          <w:tcPr>
            <w:tcW w:w="1861" w:type="dxa"/>
            <w:shd w:val="clear" w:color="auto" w:fill="auto"/>
            <w:vAlign w:val="center"/>
          </w:tcPr>
          <w:p w14:paraId="61AF08E0">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高级工程师</w:t>
            </w:r>
          </w:p>
        </w:tc>
        <w:tc>
          <w:tcPr>
            <w:tcW w:w="2564" w:type="dxa"/>
            <w:shd w:val="clear" w:color="auto" w:fill="auto"/>
            <w:vAlign w:val="center"/>
          </w:tcPr>
          <w:p w14:paraId="72B1033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cs="Times New Roman"/>
                <w:kern w:val="2"/>
                <w:sz w:val="28"/>
                <w:szCs w:val="28"/>
                <w:lang w:val="en-US" w:eastAsia="zh-CN" w:bidi="ar-SA"/>
              </w:rPr>
              <w:t>化学分析</w:t>
            </w:r>
          </w:p>
        </w:tc>
        <w:tc>
          <w:tcPr>
            <w:tcW w:w="2801" w:type="dxa"/>
            <w:shd w:val="clear" w:color="auto" w:fill="auto"/>
            <w:vAlign w:val="center"/>
          </w:tcPr>
          <w:p w14:paraId="7485C1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rPr>
              <w:t>广西壮族自治区</w:t>
            </w:r>
            <w:r>
              <w:rPr>
                <w:rFonts w:hint="eastAsia" w:ascii="Times New Roman" w:hAnsi="Times New Roman" w:cs="Times New Roman"/>
                <w:sz w:val="28"/>
                <w:szCs w:val="28"/>
                <w:lang w:val="en-US" w:eastAsia="zh-CN"/>
              </w:rPr>
              <w:t>分析测试研究中心</w:t>
            </w:r>
          </w:p>
        </w:tc>
      </w:tr>
      <w:tr w14:paraId="5F32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6D492DB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5E59387D">
            <w:pPr>
              <w:jc w:val="center"/>
              <w:rPr>
                <w:rFonts w:hint="default" w:ascii="Calibri" w:hAnsi="Calibri" w:eastAsia="仿宋_GB2312" w:cs="Times New Roman"/>
                <w:kern w:val="2"/>
                <w:sz w:val="28"/>
                <w:szCs w:val="28"/>
                <w:lang w:val="en-US" w:eastAsia="zh-CN" w:bidi="ar-SA"/>
              </w:rPr>
            </w:pPr>
            <w:r>
              <w:rPr>
                <w:rFonts w:hint="eastAsia"/>
                <w:sz w:val="28"/>
                <w:szCs w:val="28"/>
                <w:lang w:val="en-US" w:eastAsia="zh-CN"/>
              </w:rPr>
              <w:t>张思敏</w:t>
            </w:r>
          </w:p>
        </w:tc>
        <w:tc>
          <w:tcPr>
            <w:tcW w:w="1861" w:type="dxa"/>
            <w:shd w:val="clear" w:color="auto" w:fill="auto"/>
            <w:vAlign w:val="center"/>
          </w:tcPr>
          <w:p w14:paraId="22C91A26">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高级工程师</w:t>
            </w:r>
          </w:p>
        </w:tc>
        <w:tc>
          <w:tcPr>
            <w:tcW w:w="2564" w:type="dxa"/>
            <w:shd w:val="clear" w:color="auto" w:fill="auto"/>
            <w:vAlign w:val="center"/>
          </w:tcPr>
          <w:p w14:paraId="051A150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化学分析</w:t>
            </w:r>
          </w:p>
        </w:tc>
        <w:tc>
          <w:tcPr>
            <w:tcW w:w="2801" w:type="dxa"/>
            <w:shd w:val="clear" w:color="auto" w:fill="auto"/>
            <w:vAlign w:val="center"/>
          </w:tcPr>
          <w:p w14:paraId="1858A4B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rPr>
              <w:t>广西壮族自治区</w:t>
            </w:r>
            <w:r>
              <w:rPr>
                <w:rFonts w:hint="eastAsia" w:ascii="Times New Roman" w:hAnsi="Times New Roman" w:cs="Times New Roman"/>
                <w:sz w:val="28"/>
                <w:szCs w:val="28"/>
                <w:lang w:val="en-US" w:eastAsia="zh-CN"/>
              </w:rPr>
              <w:t>分析测试研究中心</w:t>
            </w:r>
          </w:p>
        </w:tc>
      </w:tr>
      <w:tr w14:paraId="6639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1A8BB47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2A4D5573">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黄晓露</w:t>
            </w:r>
          </w:p>
        </w:tc>
        <w:tc>
          <w:tcPr>
            <w:tcW w:w="1861" w:type="dxa"/>
            <w:shd w:val="clear" w:color="auto" w:fill="auto"/>
            <w:vAlign w:val="center"/>
          </w:tcPr>
          <w:p w14:paraId="58E99879">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高级工程师</w:t>
            </w:r>
          </w:p>
        </w:tc>
        <w:tc>
          <w:tcPr>
            <w:tcW w:w="2564" w:type="dxa"/>
            <w:shd w:val="clear" w:color="auto" w:fill="auto"/>
            <w:vAlign w:val="center"/>
          </w:tcPr>
          <w:p w14:paraId="11E41428">
            <w:pPr>
              <w:jc w:val="center"/>
              <w:rPr>
                <w:rFonts w:hint="default" w:ascii="Calibri" w:hAnsi="Calibri" w:eastAsia="仿宋_GB2312" w:cs="Times New Roman"/>
                <w:kern w:val="2"/>
                <w:sz w:val="28"/>
                <w:szCs w:val="28"/>
                <w:lang w:val="en-US" w:eastAsia="zh-CN" w:bidi="ar-SA"/>
              </w:rPr>
            </w:pPr>
            <w:r>
              <w:rPr>
                <w:rFonts w:hint="eastAsia"/>
                <w:sz w:val="28"/>
                <w:szCs w:val="28"/>
                <w:lang w:val="en-US" w:eastAsia="zh-CN"/>
              </w:rPr>
              <w:t>森林食品</w:t>
            </w:r>
          </w:p>
        </w:tc>
        <w:tc>
          <w:tcPr>
            <w:tcW w:w="2801" w:type="dxa"/>
            <w:shd w:val="clear" w:color="auto" w:fill="auto"/>
            <w:vAlign w:val="center"/>
          </w:tcPr>
          <w:p w14:paraId="7FDDB4C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广西壮族自治区林业科学研究院</w:t>
            </w:r>
          </w:p>
        </w:tc>
      </w:tr>
      <w:tr w14:paraId="1E63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66BBCB8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02848424">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廖</w:t>
            </w:r>
            <w:r>
              <w:rPr>
                <w:rFonts w:hint="eastAsia"/>
                <w:sz w:val="28"/>
                <w:szCs w:val="28"/>
                <w:lang w:val="en-US" w:eastAsia="zh-CN"/>
              </w:rPr>
              <w:t>健</w:t>
            </w:r>
            <w:r>
              <w:rPr>
                <w:rFonts w:hint="eastAsia" w:eastAsia="仿宋_GB2312"/>
                <w:sz w:val="28"/>
                <w:szCs w:val="28"/>
              </w:rPr>
              <w:t>明</w:t>
            </w:r>
          </w:p>
        </w:tc>
        <w:tc>
          <w:tcPr>
            <w:tcW w:w="1861" w:type="dxa"/>
            <w:shd w:val="clear" w:color="auto" w:fill="auto"/>
            <w:vAlign w:val="center"/>
          </w:tcPr>
          <w:p w14:paraId="4AD836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eastAsia="仿宋_GB2312"/>
                <w:sz w:val="28"/>
                <w:szCs w:val="28"/>
              </w:rPr>
              <w:t>正高级工程师</w:t>
            </w:r>
          </w:p>
        </w:tc>
        <w:tc>
          <w:tcPr>
            <w:tcW w:w="2564" w:type="dxa"/>
            <w:shd w:val="clear" w:color="auto" w:fill="auto"/>
            <w:vAlign w:val="center"/>
          </w:tcPr>
          <w:p w14:paraId="1474A025">
            <w:pPr>
              <w:jc w:val="center"/>
              <w:rPr>
                <w:rFonts w:hint="default" w:ascii="Calibri" w:hAnsi="Calibri" w:eastAsia="仿宋_GB2312" w:cs="Times New Roman"/>
                <w:kern w:val="2"/>
                <w:sz w:val="28"/>
                <w:szCs w:val="28"/>
                <w:lang w:val="en-US" w:eastAsia="zh-CN" w:bidi="ar-SA"/>
              </w:rPr>
            </w:pPr>
            <w:r>
              <w:rPr>
                <w:rFonts w:hint="eastAsia"/>
                <w:sz w:val="28"/>
                <w:szCs w:val="28"/>
                <w:lang w:val="en-US" w:eastAsia="zh-CN"/>
              </w:rPr>
              <w:t>森林食品</w:t>
            </w:r>
          </w:p>
        </w:tc>
        <w:tc>
          <w:tcPr>
            <w:tcW w:w="2801" w:type="dxa"/>
            <w:shd w:val="clear" w:color="auto" w:fill="auto"/>
            <w:vAlign w:val="center"/>
          </w:tcPr>
          <w:p w14:paraId="468A5E8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lang w:val="en-US" w:eastAsia="zh-CN"/>
              </w:rPr>
              <w:t>广西壮族自治区林业科学研究院</w:t>
            </w:r>
          </w:p>
        </w:tc>
      </w:tr>
      <w:tr w14:paraId="054D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63C286C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0D220EDD">
            <w:pPr>
              <w:jc w:val="center"/>
              <w:rPr>
                <w:rFonts w:hint="default" w:ascii="Calibri" w:hAnsi="Calibri" w:eastAsia="仿宋_GB2312" w:cs="Times New Roman"/>
                <w:kern w:val="2"/>
                <w:sz w:val="28"/>
                <w:szCs w:val="28"/>
                <w:lang w:val="en-US" w:eastAsia="zh-CN" w:bidi="ar-SA"/>
              </w:rPr>
            </w:pPr>
            <w:r>
              <w:rPr>
                <w:rFonts w:hint="eastAsia"/>
                <w:sz w:val="28"/>
                <w:szCs w:val="28"/>
                <w:lang w:val="en-US" w:eastAsia="zh-CN"/>
              </w:rPr>
              <w:t>赵志珩</w:t>
            </w:r>
          </w:p>
        </w:tc>
        <w:tc>
          <w:tcPr>
            <w:tcW w:w="1861" w:type="dxa"/>
            <w:shd w:val="clear" w:color="auto" w:fill="auto"/>
            <w:vAlign w:val="center"/>
          </w:tcPr>
          <w:p w14:paraId="6BAEB5A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sz w:val="28"/>
                <w:szCs w:val="28"/>
                <w:lang w:val="en-US" w:eastAsia="zh-CN"/>
              </w:rPr>
              <w:t>高级工程师</w:t>
            </w:r>
          </w:p>
        </w:tc>
        <w:tc>
          <w:tcPr>
            <w:tcW w:w="2564" w:type="dxa"/>
            <w:shd w:val="clear" w:color="auto" w:fill="auto"/>
            <w:vAlign w:val="center"/>
          </w:tcPr>
          <w:p w14:paraId="22BD15B5">
            <w:pPr>
              <w:jc w:val="center"/>
              <w:rPr>
                <w:rFonts w:hint="default" w:ascii="Calibri" w:hAnsi="Calibri" w:eastAsia="仿宋_GB2312" w:cs="Times New Roman"/>
                <w:kern w:val="2"/>
                <w:sz w:val="28"/>
                <w:szCs w:val="28"/>
                <w:lang w:val="en-US" w:eastAsia="zh-CN" w:bidi="ar-SA"/>
              </w:rPr>
            </w:pPr>
            <w:r>
              <w:rPr>
                <w:rFonts w:hint="eastAsia"/>
                <w:sz w:val="28"/>
                <w:szCs w:val="28"/>
                <w:lang w:val="en-US" w:eastAsia="zh-CN"/>
              </w:rPr>
              <w:t>森林食品</w:t>
            </w:r>
          </w:p>
        </w:tc>
        <w:tc>
          <w:tcPr>
            <w:tcW w:w="2801" w:type="dxa"/>
            <w:shd w:val="clear" w:color="auto" w:fill="auto"/>
            <w:vAlign w:val="center"/>
          </w:tcPr>
          <w:p w14:paraId="2F4EC1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lang w:val="en-US" w:eastAsia="zh-CN"/>
              </w:rPr>
              <w:t>广西壮族自治区林业科学研究院</w:t>
            </w:r>
          </w:p>
        </w:tc>
      </w:tr>
      <w:tr w14:paraId="5F59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0BF1133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59303059">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林叶新</w:t>
            </w:r>
          </w:p>
        </w:tc>
        <w:tc>
          <w:tcPr>
            <w:tcW w:w="1861" w:type="dxa"/>
            <w:shd w:val="clear" w:color="auto" w:fill="auto"/>
            <w:vAlign w:val="center"/>
          </w:tcPr>
          <w:p w14:paraId="74DAC08F">
            <w:pPr>
              <w:jc w:val="center"/>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副教授</w:t>
            </w:r>
          </w:p>
        </w:tc>
        <w:tc>
          <w:tcPr>
            <w:tcW w:w="2564" w:type="dxa"/>
            <w:shd w:val="clear" w:color="auto" w:fill="auto"/>
            <w:vAlign w:val="center"/>
          </w:tcPr>
          <w:p w14:paraId="029D1F2B">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食品研究</w:t>
            </w:r>
          </w:p>
        </w:tc>
        <w:tc>
          <w:tcPr>
            <w:tcW w:w="2801" w:type="dxa"/>
            <w:shd w:val="clear" w:color="auto" w:fill="auto"/>
            <w:vAlign w:val="center"/>
          </w:tcPr>
          <w:p w14:paraId="0E04C46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广西职业技术学院</w:t>
            </w:r>
          </w:p>
        </w:tc>
      </w:tr>
      <w:tr w14:paraId="5C4C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06D5435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6E8B71F8">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刘丽欢</w:t>
            </w:r>
          </w:p>
        </w:tc>
        <w:tc>
          <w:tcPr>
            <w:tcW w:w="1861" w:type="dxa"/>
            <w:shd w:val="clear" w:color="auto" w:fill="auto"/>
            <w:vAlign w:val="center"/>
          </w:tcPr>
          <w:p w14:paraId="035FA1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副教授</w:t>
            </w:r>
          </w:p>
        </w:tc>
        <w:tc>
          <w:tcPr>
            <w:tcW w:w="2564" w:type="dxa"/>
            <w:shd w:val="clear" w:color="auto" w:fill="auto"/>
            <w:vAlign w:val="center"/>
          </w:tcPr>
          <w:p w14:paraId="60135A33">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项目管理学</w:t>
            </w:r>
          </w:p>
        </w:tc>
        <w:tc>
          <w:tcPr>
            <w:tcW w:w="2801" w:type="dxa"/>
            <w:shd w:val="clear" w:color="auto" w:fill="auto"/>
            <w:vAlign w:val="center"/>
          </w:tcPr>
          <w:p w14:paraId="7931B0F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广西国际商务职业技术学院</w:t>
            </w:r>
          </w:p>
        </w:tc>
      </w:tr>
      <w:tr w14:paraId="5127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456100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2493732E">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邓海涛</w:t>
            </w:r>
          </w:p>
        </w:tc>
        <w:tc>
          <w:tcPr>
            <w:tcW w:w="1861" w:type="dxa"/>
            <w:shd w:val="clear" w:color="auto" w:fill="auto"/>
            <w:vAlign w:val="center"/>
          </w:tcPr>
          <w:p w14:paraId="3928F5E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副教授</w:t>
            </w:r>
          </w:p>
        </w:tc>
        <w:tc>
          <w:tcPr>
            <w:tcW w:w="2564" w:type="dxa"/>
            <w:shd w:val="clear" w:color="auto" w:fill="auto"/>
            <w:vAlign w:val="center"/>
          </w:tcPr>
          <w:p w14:paraId="508C9A9C">
            <w:pPr>
              <w:jc w:val="center"/>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 xml:space="preserve"> 国际经济与贸易</w:t>
            </w:r>
          </w:p>
        </w:tc>
        <w:tc>
          <w:tcPr>
            <w:tcW w:w="2801" w:type="dxa"/>
            <w:shd w:val="clear" w:color="auto" w:fill="auto"/>
            <w:vAlign w:val="center"/>
          </w:tcPr>
          <w:p w14:paraId="071D703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广西国际商务职业技术学院</w:t>
            </w:r>
          </w:p>
        </w:tc>
      </w:tr>
      <w:tr w14:paraId="3A03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4D26E85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1933A85D">
            <w:pPr>
              <w:rPr>
                <w:rFonts w:hint="default"/>
                <w:lang w:val="en-US" w:eastAsia="zh-CN"/>
              </w:rPr>
            </w:pPr>
            <w:r>
              <w:rPr>
                <w:rFonts w:hint="eastAsia"/>
                <w:lang w:val="en-US" w:eastAsia="zh-CN"/>
              </w:rPr>
              <w:t>曾海文</w:t>
            </w:r>
          </w:p>
        </w:tc>
        <w:tc>
          <w:tcPr>
            <w:tcW w:w="1861" w:type="dxa"/>
            <w:shd w:val="clear" w:color="auto" w:fill="auto"/>
            <w:vAlign w:val="center"/>
          </w:tcPr>
          <w:p w14:paraId="3A4930D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教授</w:t>
            </w:r>
          </w:p>
        </w:tc>
        <w:tc>
          <w:tcPr>
            <w:tcW w:w="2564" w:type="dxa"/>
            <w:shd w:val="clear" w:color="auto" w:fill="auto"/>
            <w:vAlign w:val="center"/>
          </w:tcPr>
          <w:p w14:paraId="0364258D">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AI大数据分析</w:t>
            </w:r>
          </w:p>
        </w:tc>
        <w:tc>
          <w:tcPr>
            <w:tcW w:w="2801" w:type="dxa"/>
            <w:shd w:val="clear" w:color="auto" w:fill="auto"/>
            <w:vAlign w:val="center"/>
          </w:tcPr>
          <w:p w14:paraId="41785BD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广西国际商务职业技术学院</w:t>
            </w:r>
          </w:p>
        </w:tc>
      </w:tr>
      <w:tr w14:paraId="3605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55E509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0068F828">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郑蕾</w:t>
            </w:r>
          </w:p>
        </w:tc>
        <w:tc>
          <w:tcPr>
            <w:tcW w:w="1861" w:type="dxa"/>
            <w:shd w:val="clear" w:color="auto" w:fill="auto"/>
            <w:vAlign w:val="center"/>
          </w:tcPr>
          <w:p w14:paraId="30010EA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高级实验师</w:t>
            </w:r>
          </w:p>
        </w:tc>
        <w:tc>
          <w:tcPr>
            <w:tcW w:w="2564" w:type="dxa"/>
            <w:shd w:val="clear" w:color="auto" w:fill="auto"/>
            <w:vAlign w:val="center"/>
          </w:tcPr>
          <w:p w14:paraId="5703C949">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大数据分析</w:t>
            </w:r>
          </w:p>
        </w:tc>
        <w:tc>
          <w:tcPr>
            <w:tcW w:w="2801" w:type="dxa"/>
            <w:shd w:val="clear" w:color="auto" w:fill="auto"/>
            <w:vAlign w:val="center"/>
          </w:tcPr>
          <w:p w14:paraId="0D2332A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广西国际商务职业技术学院</w:t>
            </w:r>
          </w:p>
        </w:tc>
      </w:tr>
      <w:tr w14:paraId="465A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vAlign w:val="center"/>
          </w:tcPr>
          <w:p w14:paraId="74D5D65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5A93D5BC">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董三甲</w:t>
            </w:r>
          </w:p>
        </w:tc>
        <w:tc>
          <w:tcPr>
            <w:tcW w:w="1861" w:type="dxa"/>
            <w:shd w:val="clear" w:color="auto" w:fill="auto"/>
            <w:vAlign w:val="center"/>
          </w:tcPr>
          <w:p w14:paraId="5B6399C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初级摄影师</w:t>
            </w:r>
          </w:p>
        </w:tc>
        <w:tc>
          <w:tcPr>
            <w:tcW w:w="2564" w:type="dxa"/>
            <w:shd w:val="clear" w:color="auto" w:fill="auto"/>
            <w:vAlign w:val="center"/>
          </w:tcPr>
          <w:p w14:paraId="6E6B20C5">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初几摄影师</w:t>
            </w:r>
          </w:p>
        </w:tc>
        <w:tc>
          <w:tcPr>
            <w:tcW w:w="2801" w:type="dxa"/>
            <w:shd w:val="clear" w:color="auto" w:fill="auto"/>
            <w:vAlign w:val="center"/>
          </w:tcPr>
          <w:p w14:paraId="5B835A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广西国际商务职业技术学院</w:t>
            </w:r>
          </w:p>
        </w:tc>
      </w:tr>
      <w:tr w14:paraId="3A04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76" w:type="dxa"/>
            <w:vMerge w:val="continue"/>
            <w:vAlign w:val="center"/>
          </w:tcPr>
          <w:p w14:paraId="4CC14F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vAlign w:val="center"/>
          </w:tcPr>
          <w:p w14:paraId="48E622F6">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刘珈伶</w:t>
            </w:r>
          </w:p>
        </w:tc>
        <w:tc>
          <w:tcPr>
            <w:tcW w:w="1861" w:type="dxa"/>
            <w:shd w:val="clear" w:color="auto" w:fill="auto"/>
            <w:vAlign w:val="center"/>
          </w:tcPr>
          <w:p w14:paraId="73BE40F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正高级实验师</w:t>
            </w:r>
            <w:bookmarkStart w:id="0" w:name="_GoBack"/>
            <w:bookmarkEnd w:id="0"/>
          </w:p>
        </w:tc>
        <w:tc>
          <w:tcPr>
            <w:tcW w:w="2564" w:type="dxa"/>
            <w:shd w:val="clear" w:color="auto" w:fill="auto"/>
            <w:vAlign w:val="center"/>
          </w:tcPr>
          <w:p w14:paraId="54B47906">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食品质量与安全</w:t>
            </w:r>
          </w:p>
        </w:tc>
        <w:tc>
          <w:tcPr>
            <w:tcW w:w="2801" w:type="dxa"/>
            <w:shd w:val="clear" w:color="auto" w:fill="auto"/>
            <w:vAlign w:val="center"/>
          </w:tcPr>
          <w:p w14:paraId="4FA6652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广西-东盟食品检验检测中心</w:t>
            </w:r>
          </w:p>
        </w:tc>
      </w:tr>
      <w:tr w14:paraId="280F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03C5C5D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265844BC">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王佳昕</w:t>
            </w:r>
          </w:p>
        </w:tc>
        <w:tc>
          <w:tcPr>
            <w:tcW w:w="0" w:type="auto"/>
            <w:shd w:val="clear" w:color="auto" w:fill="auto"/>
            <w:vAlign w:val="center"/>
          </w:tcPr>
          <w:p w14:paraId="5889577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主管药师</w:t>
            </w:r>
          </w:p>
        </w:tc>
        <w:tc>
          <w:tcPr>
            <w:tcW w:w="0" w:type="auto"/>
            <w:shd w:val="clear" w:color="auto" w:fill="auto"/>
            <w:vAlign w:val="center"/>
          </w:tcPr>
          <w:p w14:paraId="014D2D6A">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食品安全与工程</w:t>
            </w:r>
          </w:p>
        </w:tc>
        <w:tc>
          <w:tcPr>
            <w:tcW w:w="0" w:type="auto"/>
            <w:shd w:val="clear" w:color="auto" w:fill="auto"/>
            <w:vAlign w:val="center"/>
          </w:tcPr>
          <w:p w14:paraId="0B837D2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广西-东盟食品检验检测中心</w:t>
            </w:r>
          </w:p>
        </w:tc>
      </w:tr>
      <w:tr w14:paraId="5869D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32B1B9C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54F9D17F">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lang w:val="en-US" w:eastAsia="zh-CN"/>
              </w:rPr>
              <w:t>蓝金宣</w:t>
            </w:r>
          </w:p>
        </w:tc>
        <w:tc>
          <w:tcPr>
            <w:tcW w:w="0" w:type="auto"/>
            <w:shd w:val="clear" w:color="auto" w:fill="auto"/>
            <w:vAlign w:val="center"/>
          </w:tcPr>
          <w:p w14:paraId="74D8B1F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eastAsia="仿宋_GB2312"/>
                <w:sz w:val="28"/>
                <w:szCs w:val="28"/>
              </w:rPr>
              <w:t>高级工程师</w:t>
            </w:r>
          </w:p>
        </w:tc>
        <w:tc>
          <w:tcPr>
            <w:tcW w:w="0" w:type="auto"/>
            <w:shd w:val="clear" w:color="auto" w:fill="auto"/>
            <w:vAlign w:val="center"/>
          </w:tcPr>
          <w:p w14:paraId="23043BBA">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经济林</w:t>
            </w:r>
          </w:p>
        </w:tc>
        <w:tc>
          <w:tcPr>
            <w:tcW w:w="0" w:type="auto"/>
            <w:shd w:val="clear" w:color="auto" w:fill="auto"/>
            <w:vAlign w:val="center"/>
          </w:tcPr>
          <w:p w14:paraId="01D5D0D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lang w:val="en-US" w:eastAsia="zh-CN"/>
              </w:rPr>
              <w:t>广西壮族自治区林业科学研究院</w:t>
            </w:r>
          </w:p>
        </w:tc>
      </w:tr>
      <w:tr w14:paraId="5DF2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35D6078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502C0558">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曾祥艳</w:t>
            </w:r>
          </w:p>
        </w:tc>
        <w:tc>
          <w:tcPr>
            <w:tcW w:w="0" w:type="auto"/>
            <w:shd w:val="clear" w:color="auto" w:fill="auto"/>
            <w:vAlign w:val="center"/>
          </w:tcPr>
          <w:p w14:paraId="4C3DA3B7">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高级工程师</w:t>
            </w:r>
          </w:p>
        </w:tc>
        <w:tc>
          <w:tcPr>
            <w:tcW w:w="0" w:type="auto"/>
            <w:shd w:val="clear" w:color="auto" w:fill="auto"/>
            <w:vAlign w:val="center"/>
          </w:tcPr>
          <w:p w14:paraId="282CA0AE">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经济林</w:t>
            </w:r>
          </w:p>
        </w:tc>
        <w:tc>
          <w:tcPr>
            <w:tcW w:w="0" w:type="auto"/>
            <w:shd w:val="clear" w:color="auto" w:fill="auto"/>
            <w:vAlign w:val="center"/>
          </w:tcPr>
          <w:p w14:paraId="4A34E43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lang w:val="en-US" w:eastAsia="zh-CN"/>
              </w:rPr>
              <w:t>广西壮族自治区林业科学研究院</w:t>
            </w:r>
          </w:p>
        </w:tc>
      </w:tr>
      <w:tr w14:paraId="7E9C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15C481F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249E583A">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李开祥</w:t>
            </w:r>
          </w:p>
        </w:tc>
        <w:tc>
          <w:tcPr>
            <w:tcW w:w="0" w:type="auto"/>
            <w:shd w:val="clear" w:color="auto" w:fill="auto"/>
            <w:vAlign w:val="center"/>
          </w:tcPr>
          <w:p w14:paraId="41714FF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eastAsia="仿宋_GB2312"/>
                <w:sz w:val="28"/>
                <w:szCs w:val="28"/>
              </w:rPr>
              <w:t>教授级高级工程师</w:t>
            </w:r>
          </w:p>
        </w:tc>
        <w:tc>
          <w:tcPr>
            <w:tcW w:w="0" w:type="auto"/>
            <w:shd w:val="clear" w:color="auto" w:fill="auto"/>
            <w:vAlign w:val="center"/>
          </w:tcPr>
          <w:p w14:paraId="78EA406B">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经济林</w:t>
            </w:r>
          </w:p>
        </w:tc>
        <w:tc>
          <w:tcPr>
            <w:tcW w:w="0" w:type="auto"/>
            <w:shd w:val="clear" w:color="auto" w:fill="auto"/>
            <w:vAlign w:val="center"/>
          </w:tcPr>
          <w:p w14:paraId="0CD1B9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lang w:val="en-US" w:eastAsia="zh-CN"/>
              </w:rPr>
              <w:t>广西壮族自治区林业科学研究院</w:t>
            </w:r>
          </w:p>
        </w:tc>
      </w:tr>
      <w:tr w14:paraId="210F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5348CD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7BE314D7">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柴玲</w:t>
            </w:r>
          </w:p>
        </w:tc>
        <w:tc>
          <w:tcPr>
            <w:tcW w:w="0" w:type="auto"/>
            <w:shd w:val="clear" w:color="auto" w:fill="auto"/>
            <w:vAlign w:val="center"/>
          </w:tcPr>
          <w:p w14:paraId="1CC01E8A">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副研究员</w:t>
            </w:r>
          </w:p>
        </w:tc>
        <w:tc>
          <w:tcPr>
            <w:tcW w:w="0" w:type="auto"/>
            <w:shd w:val="clear" w:color="auto" w:fill="auto"/>
            <w:vAlign w:val="center"/>
          </w:tcPr>
          <w:p w14:paraId="4841B52B">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中药学</w:t>
            </w:r>
          </w:p>
        </w:tc>
        <w:tc>
          <w:tcPr>
            <w:tcW w:w="0" w:type="auto"/>
            <w:shd w:val="clear" w:color="auto" w:fill="auto"/>
            <w:vAlign w:val="center"/>
          </w:tcPr>
          <w:p w14:paraId="73045A8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广西中药质量标准研究重点实验室</w:t>
            </w:r>
          </w:p>
        </w:tc>
      </w:tr>
      <w:tr w14:paraId="2CAC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7BA2C3E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559CFB57">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刘布鸣</w:t>
            </w:r>
          </w:p>
        </w:tc>
        <w:tc>
          <w:tcPr>
            <w:tcW w:w="0" w:type="auto"/>
            <w:shd w:val="clear" w:color="auto" w:fill="auto"/>
            <w:vAlign w:val="center"/>
          </w:tcPr>
          <w:p w14:paraId="033233D8">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研究员</w:t>
            </w:r>
          </w:p>
        </w:tc>
        <w:tc>
          <w:tcPr>
            <w:tcW w:w="0" w:type="auto"/>
            <w:shd w:val="clear" w:color="auto" w:fill="auto"/>
            <w:vAlign w:val="center"/>
          </w:tcPr>
          <w:p w14:paraId="16E5BF92">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中药质量标准研究</w:t>
            </w:r>
          </w:p>
        </w:tc>
        <w:tc>
          <w:tcPr>
            <w:tcW w:w="0" w:type="auto"/>
            <w:shd w:val="clear" w:color="auto" w:fill="auto"/>
            <w:vAlign w:val="center"/>
          </w:tcPr>
          <w:p w14:paraId="1FC42D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广西中药质量标准研究重点实验室</w:t>
            </w:r>
          </w:p>
        </w:tc>
      </w:tr>
      <w:tr w14:paraId="134F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774E53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7300D8D0">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卢宝鹏</w:t>
            </w:r>
          </w:p>
        </w:tc>
        <w:tc>
          <w:tcPr>
            <w:tcW w:w="0" w:type="auto"/>
            <w:shd w:val="clear" w:color="auto" w:fill="auto"/>
            <w:vAlign w:val="center"/>
          </w:tcPr>
          <w:p w14:paraId="007F1E72">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sz w:val="28"/>
                <w:szCs w:val="28"/>
              </w:rPr>
              <w:t>高级工程师</w:t>
            </w:r>
          </w:p>
        </w:tc>
        <w:tc>
          <w:tcPr>
            <w:tcW w:w="0" w:type="auto"/>
            <w:shd w:val="clear" w:color="auto" w:fill="auto"/>
            <w:vAlign w:val="center"/>
          </w:tcPr>
          <w:p w14:paraId="6FA77361">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sz w:val="28"/>
                <w:szCs w:val="28"/>
              </w:rPr>
              <w:t>企业管理</w:t>
            </w:r>
          </w:p>
        </w:tc>
        <w:tc>
          <w:tcPr>
            <w:tcW w:w="0" w:type="auto"/>
            <w:shd w:val="clear" w:color="auto" w:fill="auto"/>
            <w:vAlign w:val="center"/>
          </w:tcPr>
          <w:p w14:paraId="63B92C0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广西自贸区陇桂投资集团有限公司</w:t>
            </w:r>
          </w:p>
        </w:tc>
      </w:tr>
      <w:tr w14:paraId="4100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3F93624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590F73B4">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赵海鹄</w:t>
            </w:r>
          </w:p>
        </w:tc>
        <w:tc>
          <w:tcPr>
            <w:tcW w:w="0" w:type="auto"/>
            <w:shd w:val="clear" w:color="auto" w:fill="auto"/>
            <w:vAlign w:val="center"/>
          </w:tcPr>
          <w:p w14:paraId="28023313">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sz w:val="28"/>
                <w:szCs w:val="28"/>
              </w:rPr>
              <w:t>高级工程师</w:t>
            </w:r>
          </w:p>
        </w:tc>
        <w:tc>
          <w:tcPr>
            <w:tcW w:w="0" w:type="auto"/>
            <w:shd w:val="clear" w:color="auto" w:fill="auto"/>
            <w:vAlign w:val="center"/>
          </w:tcPr>
          <w:p w14:paraId="374802CA">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林学</w:t>
            </w:r>
          </w:p>
        </w:tc>
        <w:tc>
          <w:tcPr>
            <w:tcW w:w="0" w:type="auto"/>
            <w:shd w:val="clear" w:color="auto" w:fill="auto"/>
            <w:vAlign w:val="center"/>
          </w:tcPr>
          <w:p w14:paraId="13CCDC4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广西壮族自治区林业科学研究院</w:t>
            </w:r>
          </w:p>
        </w:tc>
      </w:tr>
      <w:tr w14:paraId="127E8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643EED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1DE414D5">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蒋志林</w:t>
            </w:r>
          </w:p>
        </w:tc>
        <w:tc>
          <w:tcPr>
            <w:tcW w:w="0" w:type="auto"/>
            <w:shd w:val="clear" w:color="auto" w:fill="auto"/>
            <w:vAlign w:val="center"/>
          </w:tcPr>
          <w:p w14:paraId="54211C04">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助理工程师</w:t>
            </w:r>
          </w:p>
        </w:tc>
        <w:tc>
          <w:tcPr>
            <w:tcW w:w="0" w:type="auto"/>
            <w:shd w:val="clear" w:color="auto" w:fill="auto"/>
            <w:vAlign w:val="center"/>
          </w:tcPr>
          <w:p w14:paraId="7277DBC8">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分析化学</w:t>
            </w:r>
          </w:p>
        </w:tc>
        <w:tc>
          <w:tcPr>
            <w:tcW w:w="0" w:type="auto"/>
            <w:shd w:val="clear" w:color="auto" w:fill="auto"/>
            <w:vAlign w:val="center"/>
          </w:tcPr>
          <w:p w14:paraId="1979422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广西壮族自治区林业科学研究院</w:t>
            </w:r>
          </w:p>
        </w:tc>
      </w:tr>
      <w:tr w14:paraId="48F4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50A40A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6A7F5D9B">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肖喜银</w:t>
            </w:r>
          </w:p>
        </w:tc>
        <w:tc>
          <w:tcPr>
            <w:tcW w:w="0" w:type="auto"/>
            <w:shd w:val="clear" w:color="auto" w:fill="auto"/>
            <w:vAlign w:val="center"/>
          </w:tcPr>
          <w:p w14:paraId="320103A0">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高级工程师</w:t>
            </w:r>
          </w:p>
        </w:tc>
        <w:tc>
          <w:tcPr>
            <w:tcW w:w="0" w:type="auto"/>
            <w:shd w:val="clear" w:color="auto" w:fill="auto"/>
            <w:vAlign w:val="center"/>
          </w:tcPr>
          <w:p w14:paraId="1D39EC71">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食品生产</w:t>
            </w:r>
          </w:p>
        </w:tc>
        <w:tc>
          <w:tcPr>
            <w:tcW w:w="0" w:type="auto"/>
            <w:shd w:val="clear" w:color="auto" w:fill="auto"/>
            <w:vAlign w:val="center"/>
          </w:tcPr>
          <w:p w14:paraId="18F49C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广西农垦茶业集团有限公司</w:t>
            </w:r>
          </w:p>
        </w:tc>
      </w:tr>
      <w:tr w14:paraId="59B9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2AD001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7758FD52">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梁忠茂</w:t>
            </w:r>
          </w:p>
        </w:tc>
        <w:tc>
          <w:tcPr>
            <w:tcW w:w="0" w:type="auto"/>
            <w:shd w:val="clear" w:color="auto" w:fill="auto"/>
            <w:vAlign w:val="center"/>
          </w:tcPr>
          <w:p w14:paraId="0A34E587">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工程师</w:t>
            </w:r>
          </w:p>
        </w:tc>
        <w:tc>
          <w:tcPr>
            <w:tcW w:w="0" w:type="auto"/>
            <w:shd w:val="clear" w:color="auto" w:fill="auto"/>
            <w:vAlign w:val="center"/>
          </w:tcPr>
          <w:p w14:paraId="4CB46197">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食品工业</w:t>
            </w:r>
          </w:p>
        </w:tc>
        <w:tc>
          <w:tcPr>
            <w:tcW w:w="0" w:type="auto"/>
            <w:shd w:val="clear" w:color="auto" w:fill="auto"/>
            <w:vAlign w:val="center"/>
          </w:tcPr>
          <w:p w14:paraId="52CB072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广西靖西梁鹏食品有限公司</w:t>
            </w:r>
          </w:p>
        </w:tc>
      </w:tr>
      <w:tr w14:paraId="333D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6187178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54E52CFB">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张翅飞</w:t>
            </w:r>
          </w:p>
        </w:tc>
        <w:tc>
          <w:tcPr>
            <w:tcW w:w="0" w:type="auto"/>
            <w:shd w:val="clear" w:color="auto" w:fill="auto"/>
            <w:vAlign w:val="center"/>
          </w:tcPr>
          <w:p w14:paraId="1D2D4B38">
            <w:pPr>
              <w:jc w:val="center"/>
              <w:rPr>
                <w:rFonts w:hint="default" w:ascii="Times New Roman" w:hAnsi="Times New Roman" w:eastAsia="仿宋_GB2312" w:cs="Times New Roman"/>
                <w:kern w:val="2"/>
                <w:sz w:val="28"/>
                <w:szCs w:val="28"/>
                <w:lang w:val="en-US" w:eastAsia="zh-CN" w:bidi="ar-SA"/>
              </w:rPr>
            </w:pPr>
            <w:r>
              <w:rPr>
                <w:rFonts w:hint="eastAsia" w:cs="Times New Roman"/>
                <w:kern w:val="2"/>
                <w:sz w:val="28"/>
                <w:szCs w:val="28"/>
                <w:lang w:val="en-US" w:eastAsia="zh-CN" w:bidi="ar-SA"/>
              </w:rPr>
              <w:t>工程师</w:t>
            </w:r>
          </w:p>
        </w:tc>
        <w:tc>
          <w:tcPr>
            <w:tcW w:w="0" w:type="auto"/>
            <w:shd w:val="clear" w:color="auto" w:fill="auto"/>
            <w:vAlign w:val="center"/>
          </w:tcPr>
          <w:p w14:paraId="04EE273D">
            <w:pPr>
              <w:jc w:val="center"/>
              <w:rPr>
                <w:rFonts w:hint="default" w:ascii="Times New Roman" w:hAnsi="Times New Roman" w:eastAsia="仿宋_GB2312" w:cs="Times New Roman"/>
                <w:kern w:val="2"/>
                <w:sz w:val="28"/>
                <w:szCs w:val="28"/>
                <w:lang w:val="en-US" w:eastAsia="zh-CN" w:bidi="ar-SA"/>
              </w:rPr>
            </w:pPr>
            <w:r>
              <w:rPr>
                <w:rFonts w:hint="eastAsia" w:cs="Times New Roman"/>
                <w:kern w:val="2"/>
                <w:sz w:val="28"/>
                <w:szCs w:val="28"/>
                <w:lang w:val="en-US" w:eastAsia="zh-CN" w:bidi="ar-SA"/>
              </w:rPr>
              <w:t>食品工业</w:t>
            </w:r>
          </w:p>
        </w:tc>
        <w:tc>
          <w:tcPr>
            <w:tcW w:w="0" w:type="auto"/>
            <w:shd w:val="clear" w:color="auto" w:fill="auto"/>
            <w:vAlign w:val="center"/>
          </w:tcPr>
          <w:p w14:paraId="2C31FE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广西贺州市芬芳果蔬食品有限公司</w:t>
            </w:r>
          </w:p>
        </w:tc>
      </w:tr>
      <w:tr w14:paraId="6EF38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072EA34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4B5821C8">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黄进安</w:t>
            </w:r>
          </w:p>
        </w:tc>
        <w:tc>
          <w:tcPr>
            <w:tcW w:w="0" w:type="auto"/>
            <w:shd w:val="clear" w:color="auto" w:fill="auto"/>
            <w:vAlign w:val="center"/>
          </w:tcPr>
          <w:p w14:paraId="0FED64B8">
            <w:pPr>
              <w:jc w:val="center"/>
              <w:rPr>
                <w:rFonts w:hint="default" w:ascii="Times New Roman" w:hAnsi="Times New Roman" w:eastAsia="仿宋_GB2312" w:cs="Times New Roman"/>
                <w:kern w:val="2"/>
                <w:sz w:val="28"/>
                <w:szCs w:val="28"/>
                <w:lang w:val="en-US" w:eastAsia="zh-CN" w:bidi="ar-SA"/>
              </w:rPr>
            </w:pPr>
            <w:r>
              <w:rPr>
                <w:rFonts w:hint="eastAsia" w:cs="Times New Roman"/>
                <w:kern w:val="2"/>
                <w:sz w:val="28"/>
                <w:szCs w:val="28"/>
                <w:lang w:val="en-US" w:eastAsia="zh-CN" w:bidi="ar-SA"/>
              </w:rPr>
              <w:t>工程师</w:t>
            </w:r>
          </w:p>
        </w:tc>
        <w:tc>
          <w:tcPr>
            <w:tcW w:w="0" w:type="auto"/>
            <w:shd w:val="clear" w:color="auto" w:fill="auto"/>
            <w:vAlign w:val="center"/>
          </w:tcPr>
          <w:p w14:paraId="06DB878C">
            <w:pPr>
              <w:jc w:val="center"/>
              <w:rPr>
                <w:rFonts w:hint="default" w:ascii="Times New Roman" w:hAnsi="Times New Roman" w:eastAsia="仿宋_GB2312" w:cs="Times New Roman"/>
                <w:kern w:val="2"/>
                <w:sz w:val="28"/>
                <w:szCs w:val="28"/>
                <w:lang w:val="en-US" w:eastAsia="zh-CN" w:bidi="ar-SA"/>
              </w:rPr>
            </w:pPr>
            <w:r>
              <w:rPr>
                <w:rFonts w:hint="eastAsia" w:cs="Times New Roman"/>
                <w:kern w:val="2"/>
                <w:sz w:val="28"/>
                <w:szCs w:val="28"/>
                <w:lang w:val="en-US" w:eastAsia="zh-CN" w:bidi="ar-SA"/>
              </w:rPr>
              <w:t>食品工业</w:t>
            </w:r>
          </w:p>
        </w:tc>
        <w:tc>
          <w:tcPr>
            <w:tcW w:w="0" w:type="auto"/>
            <w:shd w:val="clear" w:color="auto" w:fill="auto"/>
            <w:vAlign w:val="center"/>
          </w:tcPr>
          <w:p w14:paraId="13C3963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德保县壮宝酒厂有限公司</w:t>
            </w:r>
          </w:p>
        </w:tc>
      </w:tr>
      <w:tr w14:paraId="2FC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76" w:type="dxa"/>
            <w:vMerge w:val="continue"/>
          </w:tcPr>
          <w:p w14:paraId="2B7A0E0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0" w:type="auto"/>
            <w:shd w:val="clear" w:color="auto" w:fill="auto"/>
            <w:vAlign w:val="center"/>
          </w:tcPr>
          <w:p w14:paraId="110CAE34">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张菁芳</w:t>
            </w:r>
          </w:p>
        </w:tc>
        <w:tc>
          <w:tcPr>
            <w:tcW w:w="0" w:type="auto"/>
            <w:shd w:val="clear" w:color="auto" w:fill="auto"/>
            <w:vAlign w:val="center"/>
          </w:tcPr>
          <w:p w14:paraId="5D64A47D">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副研究员</w:t>
            </w:r>
          </w:p>
        </w:tc>
        <w:tc>
          <w:tcPr>
            <w:tcW w:w="0" w:type="auto"/>
            <w:shd w:val="clear" w:color="auto" w:fill="auto"/>
            <w:vAlign w:val="center"/>
          </w:tcPr>
          <w:p w14:paraId="57B8F488">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大健康管理</w:t>
            </w:r>
          </w:p>
        </w:tc>
        <w:tc>
          <w:tcPr>
            <w:tcW w:w="0" w:type="auto"/>
            <w:shd w:val="clear" w:color="auto" w:fill="auto"/>
            <w:vAlign w:val="center"/>
          </w:tcPr>
          <w:p w14:paraId="68BB51F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广西旅发大健康产业集团有限公司</w:t>
            </w:r>
          </w:p>
        </w:tc>
      </w:tr>
    </w:tbl>
    <w:p w14:paraId="6FA8D8C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p>
    <w:p w14:paraId="00E038C0">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（二）收集整理文献资料</w:t>
      </w:r>
    </w:p>
    <w:p w14:paraId="0EA8762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标准编制工作组收集了相关文献资料。主要有：</w:t>
      </w:r>
    </w:p>
    <w:p w14:paraId="178C66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《中国药典》2020年版关于山楂的相关要求</w:t>
      </w:r>
    </w:p>
    <w:p w14:paraId="0A8CC8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lang w:eastAsia="zh-CN"/>
        </w:rPr>
      </w:pPr>
      <w:r>
        <w:rPr>
          <w:rFonts w:hint="eastAsia" w:ascii="Times New Roman" w:hAnsi="Times New Roman" w:cs="Times New Roman"/>
          <w:lang w:eastAsia="zh-CN"/>
        </w:rPr>
        <w:t>《GH/T 1159-2017 山楂》</w:t>
      </w:r>
    </w:p>
    <w:p w14:paraId="3B7EBF7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DB46</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rPr>
        <w:t>T</w:t>
      </w:r>
      <w:r>
        <w:rPr>
          <w:rFonts w:hint="eastAsia" w:ascii="Times New Roman" w:hAnsi="Times New Roman" w:cs="Times New Roman"/>
          <w:sz w:val="32"/>
          <w:szCs w:val="32"/>
          <w:lang w:val="en-US" w:eastAsia="zh-CN"/>
        </w:rPr>
        <w:t xml:space="preserve"> </w:t>
      </w:r>
      <w:r>
        <w:rPr>
          <w:rFonts w:hint="default" w:ascii="Times New Roman" w:hAnsi="Times New Roman" w:eastAsia="仿宋_GB2312" w:cs="Times New Roman"/>
          <w:sz w:val="32"/>
          <w:szCs w:val="32"/>
        </w:rPr>
        <w:t>107-2007椰子浆</w:t>
      </w:r>
      <w:r>
        <w:rPr>
          <w:rFonts w:hint="eastAsia" w:ascii="Times New Roman" w:hAnsi="Times New Roman" w:cs="Times New Roman"/>
          <w:sz w:val="32"/>
          <w:szCs w:val="32"/>
          <w:lang w:eastAsia="zh-CN"/>
        </w:rPr>
        <w:t>》</w:t>
      </w:r>
    </w:p>
    <w:p w14:paraId="3BB8573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《DBS64/ 008-2022 食品安全地方标准 枸杞原浆》</w:t>
      </w:r>
    </w:p>
    <w:p w14:paraId="07896E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《T/GXGFA 11-2024地理标志农产品 靖西大果山楂》</w:t>
      </w:r>
    </w:p>
    <w:p w14:paraId="322280F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《DB45/T 1634-2017大果山楂生产技术规程》</w:t>
      </w:r>
    </w:p>
    <w:p w14:paraId="2F96E4B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《DB45/T 2598-2022大果山楂原醋生产技术规程》</w:t>
      </w:r>
    </w:p>
    <w:p w14:paraId="4A5C08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苏艳兰,刘功德,艾静汶.浅述大果山楂营养价值及原味果脯生产工艺[J].大众科技,2018,20(05):97-98.</w:t>
      </w:r>
    </w:p>
    <w:p w14:paraId="1E1ACA0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陈秋虹,黄岛平,蒋艳芳.大果山楂营养成分与功能成分分析及评价[J].轻工科技,2016,32(11):3-4.</w:t>
      </w:r>
    </w:p>
    <w:p w14:paraId="4C39066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陈聪,林波,梁忠茂,等.广西大果山楂产业发展现状与对策建议[J].安徽农业科学,2024,52(14):236-241.</w:t>
      </w:r>
    </w:p>
    <w:p w14:paraId="51BA3884">
      <w:pPr>
        <w:keepNext w:val="0"/>
        <w:keepLines/>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王先友,袁春蕾,李明珠,等.RP-HPLC法测定大果山楂中四种有机酸的含量[J].化学研究,2023,34(02):117-120.</w:t>
      </w:r>
    </w:p>
    <w:p w14:paraId="5EC4DCB4">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）研讨确定标准主体内容</w:t>
      </w:r>
    </w:p>
    <w:p w14:paraId="3B0C893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标准编制工作组在对收集的资料进行整理研究后召开了标准编制会议，对标准的整体框架进行了研究，并对标准的关键性问题进行了初步探讨。经过研究，标准的主体内容包括原料要求</w:t>
      </w:r>
      <w:r>
        <w:rPr>
          <w:rFonts w:hint="eastAsia" w:ascii="Times New Roman" w:hAnsi="Times New Roman" w:cs="Times New Roman"/>
          <w:sz w:val="32"/>
          <w:szCs w:val="32"/>
          <w:lang w:eastAsia="zh-CN"/>
        </w:rPr>
        <w:t>、生产环境、</w:t>
      </w:r>
      <w:r>
        <w:rPr>
          <w:rFonts w:hint="eastAsia"/>
          <w:lang w:val="en-US" w:eastAsia="zh-CN"/>
        </w:rPr>
        <w:t>工艺流程</w:t>
      </w:r>
      <w:r>
        <w:rPr>
          <w:rFonts w:hint="eastAsia"/>
          <w:lang w:eastAsia="zh-CN"/>
        </w:rPr>
        <w:t>、</w:t>
      </w:r>
      <w:r>
        <w:rPr>
          <w:rFonts w:hint="eastAsia"/>
        </w:rPr>
        <w:t>产品指标</w:t>
      </w:r>
      <w:r>
        <w:rPr>
          <w:rFonts w:hint="default" w:ascii="Times New Roman" w:hAnsi="Times New Roman" w:eastAsia="仿宋_GB2312" w:cs="Times New Roman"/>
          <w:sz w:val="32"/>
          <w:szCs w:val="32"/>
        </w:rPr>
        <w:t>等。</w:t>
      </w:r>
    </w:p>
    <w:p w14:paraId="5BFB90DA">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rPr>
        <w:t>）调研、形成文本草案、征求意见稿、送审稿</w:t>
      </w:r>
    </w:p>
    <w:p w14:paraId="2F998ED8">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2024年</w:t>
      </w:r>
      <w:r>
        <w:rPr>
          <w:rFonts w:hint="default" w:ascii="Times New Roman" w:hAnsi="Times New Roman" w:eastAsia="仿宋_GB2312" w:cs="Times New Roman"/>
          <w:spacing w:val="2"/>
          <w:sz w:val="32"/>
          <w:szCs w:val="32"/>
          <w:lang w:val="en-US" w:eastAsia="zh-CN"/>
        </w:rPr>
        <w:t>6</w:t>
      </w:r>
      <w:r>
        <w:rPr>
          <w:rFonts w:hint="default" w:ascii="Times New Roman" w:hAnsi="Times New Roman" w:eastAsia="仿宋_GB2312" w:cs="Times New Roman"/>
          <w:spacing w:val="2"/>
          <w:sz w:val="32"/>
          <w:szCs w:val="32"/>
        </w:rPr>
        <w:t>月，标准起草工作小组进行了广泛实地调研工作，</w:t>
      </w:r>
      <w:r>
        <w:rPr>
          <w:rFonts w:hint="default" w:ascii="Times New Roman" w:hAnsi="Times New Roman" w:eastAsia="仿宋_GB2312" w:cs="Times New Roman"/>
          <w:sz w:val="32"/>
          <w:szCs w:val="32"/>
        </w:rPr>
        <w:t>深入</w:t>
      </w:r>
      <w:r>
        <w:rPr>
          <w:rFonts w:hint="eastAsia" w:ascii="Times New Roman" w:hAnsi="Times New Roman" w:cs="Times New Roman"/>
          <w:sz w:val="32"/>
          <w:szCs w:val="32"/>
          <w:lang w:val="en-US" w:eastAsia="zh-CN"/>
        </w:rPr>
        <w:t>靖西</w:t>
      </w:r>
      <w:r>
        <w:rPr>
          <w:rFonts w:hint="default" w:ascii="Times New Roman" w:hAnsi="Times New Roman" w:eastAsia="仿宋_GB2312" w:cs="Times New Roman"/>
          <w:sz w:val="32"/>
          <w:szCs w:val="32"/>
        </w:rPr>
        <w:t>、</w:t>
      </w:r>
      <w:r>
        <w:rPr>
          <w:rFonts w:hint="eastAsia" w:ascii="Times New Roman" w:hAnsi="Times New Roman" w:cs="Times New Roman"/>
          <w:sz w:val="32"/>
          <w:szCs w:val="32"/>
          <w:lang w:val="en-US" w:eastAsia="zh-CN"/>
        </w:rPr>
        <w:t>百色</w:t>
      </w:r>
      <w:r>
        <w:rPr>
          <w:rFonts w:hint="default" w:ascii="Times New Roman" w:hAnsi="Times New Roman" w:eastAsia="仿宋_GB2312" w:cs="Times New Roman"/>
          <w:sz w:val="32"/>
          <w:szCs w:val="32"/>
        </w:rPr>
        <w:t>等地调研</w:t>
      </w:r>
      <w:r>
        <w:rPr>
          <w:rFonts w:hint="eastAsia" w:ascii="Times New Roman" w:hAnsi="Times New Roman" w:cs="Times New Roman"/>
          <w:sz w:val="32"/>
          <w:szCs w:val="32"/>
          <w:lang w:val="en-US" w:eastAsia="zh-CN"/>
        </w:rPr>
        <w:t>大果山楂产品</w:t>
      </w:r>
      <w:r>
        <w:rPr>
          <w:rFonts w:hint="default" w:ascii="Times New Roman" w:hAnsi="Times New Roman" w:eastAsia="仿宋_GB2312" w:cs="Times New Roman"/>
          <w:sz w:val="32"/>
          <w:szCs w:val="32"/>
        </w:rPr>
        <w:t>生产企业，了解原料采集、</w:t>
      </w:r>
      <w:r>
        <w:rPr>
          <w:rFonts w:hint="eastAsia" w:ascii="Times New Roman" w:hAnsi="Times New Roman" w:cs="Times New Roman"/>
          <w:sz w:val="32"/>
          <w:szCs w:val="32"/>
          <w:lang w:val="en-US" w:eastAsia="zh-CN"/>
        </w:rPr>
        <w:t>清洗</w:t>
      </w:r>
      <w:r>
        <w:rPr>
          <w:rFonts w:hint="default" w:ascii="Times New Roman" w:hAnsi="Times New Roman" w:eastAsia="仿宋_GB2312" w:cs="Times New Roman"/>
          <w:sz w:val="32"/>
          <w:szCs w:val="32"/>
        </w:rPr>
        <w:t>、</w:t>
      </w:r>
      <w:r>
        <w:rPr>
          <w:rFonts w:hint="eastAsia" w:ascii="Times New Roman" w:hAnsi="Times New Roman" w:cs="Times New Roman"/>
          <w:sz w:val="32"/>
          <w:szCs w:val="32"/>
          <w:lang w:val="en-US" w:eastAsia="zh-CN"/>
        </w:rPr>
        <w:t>加工</w:t>
      </w:r>
      <w:r>
        <w:rPr>
          <w:rFonts w:hint="default" w:ascii="Times New Roman" w:hAnsi="Times New Roman" w:eastAsia="仿宋_GB2312" w:cs="Times New Roman"/>
          <w:sz w:val="32"/>
          <w:szCs w:val="32"/>
        </w:rPr>
        <w:t>等环节的现状与问题</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pacing w:val="2"/>
          <w:sz w:val="32"/>
          <w:szCs w:val="32"/>
        </w:rPr>
        <w:t>形成了标准的基本构架，对主要内容进行了讨论并对项目的工作进行了部署和安排。</w:t>
      </w:r>
    </w:p>
    <w:p w14:paraId="0BA52D0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Times New Roman" w:hAnsi="Times New Roman" w:eastAsia="仿宋_GB2312" w:cs="Times New Roman"/>
          <w:spacing w:val="2"/>
          <w:sz w:val="32"/>
          <w:szCs w:val="32"/>
          <w:lang w:eastAsia="zh-CN"/>
        </w:rPr>
      </w:pPr>
      <w:r>
        <w:rPr>
          <w:rFonts w:hint="eastAsia" w:ascii="Times New Roman" w:hAnsi="Times New Roman" w:eastAsia="仿宋_GB2312" w:cs="Times New Roman"/>
          <w:spacing w:val="2"/>
          <w:sz w:val="32"/>
          <w:szCs w:val="32"/>
          <w:lang w:eastAsia="zh-CN"/>
        </w:rPr>
        <w:drawing>
          <wp:inline distT="0" distB="0" distL="114300" distR="114300">
            <wp:extent cx="2736215" cy="1825625"/>
            <wp:effectExtent l="0" t="0" r="6985" b="3175"/>
            <wp:docPr id="2" name="图片 2" descr="IMG_8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8474"/>
                    <pic:cNvPicPr>
                      <a:picLocks noChangeAspect="1"/>
                    </pic:cNvPicPr>
                  </pic:nvPicPr>
                  <pic:blipFill>
                    <a:blip r:embed="rId5"/>
                    <a:stretch>
                      <a:fillRect/>
                    </a:stretch>
                  </pic:blipFill>
                  <pic:spPr>
                    <a:xfrm>
                      <a:off x="0" y="0"/>
                      <a:ext cx="2736215" cy="1825625"/>
                    </a:xfrm>
                    <a:prstGeom prst="rect">
                      <a:avLst/>
                    </a:prstGeom>
                  </pic:spPr>
                </pic:pic>
              </a:graphicData>
            </a:graphic>
          </wp:inline>
        </w:drawing>
      </w:r>
      <w:r>
        <w:rPr>
          <w:rFonts w:hint="eastAsia" w:ascii="Times New Roman" w:hAnsi="Times New Roman" w:cs="Times New Roman"/>
          <w:spacing w:val="2"/>
          <w:sz w:val="32"/>
          <w:szCs w:val="32"/>
          <w:lang w:val="en-US" w:eastAsia="zh-CN"/>
        </w:rPr>
        <w:t xml:space="preserve"> </w:t>
      </w:r>
      <w:r>
        <w:rPr>
          <w:rFonts w:hint="eastAsia" w:ascii="Times New Roman" w:hAnsi="Times New Roman" w:eastAsia="仿宋_GB2312" w:cs="Times New Roman"/>
          <w:spacing w:val="2"/>
          <w:sz w:val="32"/>
          <w:szCs w:val="32"/>
          <w:lang w:eastAsia="zh-CN"/>
        </w:rPr>
        <w:drawing>
          <wp:inline distT="0" distB="0" distL="114300" distR="114300">
            <wp:extent cx="2734945" cy="1824990"/>
            <wp:effectExtent l="0" t="0" r="8255" b="3810"/>
            <wp:docPr id="8" name="图片 8" descr="IMG_8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8544"/>
                    <pic:cNvPicPr>
                      <a:picLocks noChangeAspect="1"/>
                    </pic:cNvPicPr>
                  </pic:nvPicPr>
                  <pic:blipFill>
                    <a:blip r:embed="rId6"/>
                    <a:stretch>
                      <a:fillRect/>
                    </a:stretch>
                  </pic:blipFill>
                  <pic:spPr>
                    <a:xfrm>
                      <a:off x="0" y="0"/>
                      <a:ext cx="2734945" cy="1824990"/>
                    </a:xfrm>
                    <a:prstGeom prst="rect">
                      <a:avLst/>
                    </a:prstGeom>
                  </pic:spPr>
                </pic:pic>
              </a:graphicData>
            </a:graphic>
          </wp:inline>
        </w:drawing>
      </w:r>
    </w:p>
    <w:p w14:paraId="66CCF325">
      <w:pPr>
        <w:keepNext w:val="0"/>
        <w:keepLines w:val="0"/>
        <w:pageBreakBefore w:val="0"/>
        <w:widowControl w:val="0"/>
        <w:kinsoku/>
        <w:wordWrap/>
        <w:overflowPunct/>
        <w:topLinePunct w:val="0"/>
        <w:autoSpaceDE/>
        <w:autoSpaceDN/>
        <w:bidi w:val="0"/>
        <w:adjustRightInd w:val="0"/>
        <w:snapToGrid w:val="0"/>
        <w:spacing w:line="240" w:lineRule="auto"/>
        <w:ind w:firstLine="632" w:firstLineChars="300"/>
        <w:jc w:val="left"/>
        <w:textAlignment w:val="auto"/>
        <w:rPr>
          <w:rFonts w:hint="default" w:ascii="Times New Roman" w:hAnsi="Times New Roman" w:eastAsia="仿宋" w:cs="Times New Roman"/>
          <w:spacing w:val="2"/>
          <w:sz w:val="21"/>
          <w:szCs w:val="21"/>
          <w:lang w:val="en-US" w:eastAsia="zh-CN"/>
        </w:rPr>
      </w:pPr>
      <w:r>
        <w:rPr>
          <w:rFonts w:hint="eastAsia" w:ascii="仿宋" w:hAnsi="仿宋" w:eastAsia="仿宋" w:cs="仿宋"/>
          <w:b/>
          <w:sz w:val="21"/>
          <w:szCs w:val="21"/>
        </w:rPr>
        <w:t>图</w:t>
      </w:r>
      <w:r>
        <w:rPr>
          <w:rFonts w:hint="eastAsia" w:ascii="仿宋" w:hAnsi="仿宋" w:eastAsia="仿宋" w:cs="仿宋"/>
          <w:b/>
          <w:sz w:val="21"/>
          <w:szCs w:val="21"/>
          <w:lang w:val="en-US" w:eastAsia="zh-CN"/>
        </w:rPr>
        <w:t>1</w:t>
      </w:r>
      <w:r>
        <w:rPr>
          <w:rFonts w:ascii="仿宋" w:hAnsi="仿宋" w:eastAsia="仿宋" w:cs="仿宋"/>
          <w:b/>
          <w:sz w:val="21"/>
          <w:szCs w:val="21"/>
        </w:rPr>
        <w:t xml:space="preserve">  </w:t>
      </w:r>
      <w:r>
        <w:rPr>
          <w:rFonts w:hint="eastAsia" w:ascii="仿宋" w:hAnsi="仿宋" w:eastAsia="仿宋" w:cs="仿宋"/>
          <w:b/>
          <w:sz w:val="21"/>
          <w:szCs w:val="21"/>
          <w:lang w:val="en-US" w:eastAsia="zh-CN"/>
        </w:rPr>
        <w:t>调研大果山楂产品生产企业               图2  大果山楂相关加工产品</w:t>
      </w:r>
    </w:p>
    <w:p w14:paraId="67AB8FBD">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color w:val="000000"/>
          <w:spacing w:val="2"/>
          <w:sz w:val="32"/>
          <w:szCs w:val="32"/>
        </w:rPr>
      </w:pPr>
      <w:r>
        <w:rPr>
          <w:rFonts w:hint="default" w:ascii="Times New Roman" w:hAnsi="Times New Roman" w:eastAsia="仿宋_GB2312" w:cs="Times New Roman"/>
          <w:spacing w:val="2"/>
          <w:sz w:val="32"/>
          <w:szCs w:val="32"/>
        </w:rPr>
        <w:t>2024年</w:t>
      </w:r>
      <w:r>
        <w:rPr>
          <w:rFonts w:hint="default" w:ascii="Times New Roman" w:hAnsi="Times New Roman" w:eastAsia="仿宋_GB2312" w:cs="Times New Roman"/>
          <w:spacing w:val="2"/>
          <w:sz w:val="32"/>
          <w:szCs w:val="32"/>
          <w:lang w:val="en-US" w:eastAsia="zh-CN"/>
        </w:rPr>
        <w:t>8</w:t>
      </w:r>
      <w:r>
        <w:rPr>
          <w:rFonts w:hint="default" w:ascii="Times New Roman" w:hAnsi="Times New Roman" w:eastAsia="仿宋_GB2312" w:cs="Times New Roman"/>
          <w:spacing w:val="2"/>
          <w:sz w:val="32"/>
          <w:szCs w:val="32"/>
        </w:rPr>
        <w:t>月，在前期工作的基础之上，通过理清逻辑脉络，整合已有的参考资料中有关</w:t>
      </w:r>
      <w:r>
        <w:rPr>
          <w:rFonts w:hint="default" w:ascii="Times New Roman" w:hAnsi="Times New Roman" w:eastAsia="仿宋_GB2312" w:cs="Times New Roman"/>
          <w:spacing w:val="2"/>
          <w:sz w:val="32"/>
          <w:szCs w:val="32"/>
          <w:lang w:val="en-US" w:eastAsia="zh-CN"/>
        </w:rPr>
        <w:t>各类</w:t>
      </w:r>
      <w:r>
        <w:rPr>
          <w:rFonts w:hint="eastAsia" w:ascii="Times New Roman" w:hAnsi="Times New Roman" w:cs="Times New Roman"/>
          <w:spacing w:val="2"/>
          <w:sz w:val="32"/>
          <w:szCs w:val="32"/>
          <w:lang w:val="en-US" w:eastAsia="zh-CN"/>
        </w:rPr>
        <w:t>果浆产品的</w:t>
      </w:r>
      <w:r>
        <w:rPr>
          <w:rFonts w:hint="default" w:ascii="Times New Roman" w:hAnsi="Times New Roman" w:eastAsia="仿宋_GB2312" w:cs="Times New Roman"/>
          <w:color w:val="000000"/>
          <w:spacing w:val="2"/>
          <w:sz w:val="32"/>
          <w:szCs w:val="32"/>
        </w:rPr>
        <w:t>技术要求</w:t>
      </w:r>
      <w:r>
        <w:rPr>
          <w:rFonts w:hint="default" w:ascii="Times New Roman" w:hAnsi="Times New Roman" w:eastAsia="仿宋_GB2312" w:cs="Times New Roman"/>
          <w:spacing w:val="2"/>
          <w:sz w:val="32"/>
          <w:szCs w:val="32"/>
        </w:rPr>
        <w:t>，并结合</w:t>
      </w:r>
      <w:r>
        <w:rPr>
          <w:rFonts w:hint="eastAsia" w:ascii="Times New Roman" w:hAnsi="Times New Roman" w:cs="Times New Roman"/>
          <w:color w:val="000000"/>
          <w:spacing w:val="2"/>
          <w:sz w:val="32"/>
          <w:szCs w:val="32"/>
          <w:lang w:val="en-US" w:eastAsia="zh-CN"/>
        </w:rPr>
        <w:t>大果山楂原浆</w:t>
      </w:r>
      <w:r>
        <w:rPr>
          <w:rFonts w:hint="default" w:ascii="Times New Roman" w:hAnsi="Times New Roman" w:eastAsia="仿宋_GB2312" w:cs="Times New Roman"/>
          <w:color w:val="000000"/>
          <w:spacing w:val="2"/>
          <w:sz w:val="32"/>
          <w:szCs w:val="32"/>
        </w:rPr>
        <w:t>要求的基础上，按照简化、统一等原则编制完成团体标准《</w:t>
      </w:r>
      <w:r>
        <w:rPr>
          <w:rFonts w:hint="default" w:ascii="Times New Roman" w:hAnsi="Times New Roman" w:cs="Times New Roman"/>
          <w:sz w:val="32"/>
          <w:szCs w:val="32"/>
          <w:lang w:val="en-US" w:eastAsia="zh-CN"/>
        </w:rPr>
        <w:t>大果山楂</w:t>
      </w:r>
      <w:r>
        <w:rPr>
          <w:rFonts w:hint="eastAsia" w:ascii="Times New Roman" w:hAnsi="Times New Roman" w:cs="Times New Roman"/>
          <w:sz w:val="32"/>
          <w:szCs w:val="32"/>
          <w:lang w:val="en-US" w:eastAsia="zh-CN"/>
        </w:rPr>
        <w:t>原浆</w:t>
      </w:r>
      <w:r>
        <w:rPr>
          <w:rFonts w:hint="default" w:ascii="Times New Roman" w:hAnsi="Times New Roman" w:eastAsia="仿宋_GB2312" w:cs="Times New Roman"/>
          <w:color w:val="000000"/>
          <w:spacing w:val="2"/>
          <w:sz w:val="32"/>
          <w:szCs w:val="32"/>
        </w:rPr>
        <w:t>》（草案）。</w:t>
      </w:r>
    </w:p>
    <w:p w14:paraId="15388B23">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color w:val="000000"/>
          <w:spacing w:val="2"/>
          <w:sz w:val="32"/>
          <w:szCs w:val="32"/>
        </w:rPr>
      </w:pPr>
      <w:r>
        <w:rPr>
          <w:rFonts w:hint="default" w:ascii="Times New Roman" w:hAnsi="Times New Roman" w:eastAsia="仿宋_GB2312" w:cs="Times New Roman"/>
          <w:color w:val="000000"/>
          <w:spacing w:val="2"/>
          <w:sz w:val="32"/>
          <w:szCs w:val="32"/>
        </w:rPr>
        <w:t>2024年</w:t>
      </w:r>
      <w:r>
        <w:rPr>
          <w:rFonts w:hint="default" w:ascii="Times New Roman" w:hAnsi="Times New Roman" w:eastAsia="仿宋_GB2312" w:cs="Times New Roman"/>
          <w:color w:val="000000"/>
          <w:spacing w:val="2"/>
          <w:sz w:val="32"/>
          <w:szCs w:val="32"/>
          <w:lang w:val="en-US" w:eastAsia="zh-CN"/>
        </w:rPr>
        <w:t>10</w:t>
      </w:r>
      <w:r>
        <w:rPr>
          <w:rFonts w:hint="default" w:ascii="Times New Roman" w:hAnsi="Times New Roman" w:eastAsia="仿宋_GB2312" w:cs="Times New Roman"/>
          <w:color w:val="000000"/>
          <w:spacing w:val="2"/>
          <w:sz w:val="32"/>
          <w:szCs w:val="32"/>
        </w:rPr>
        <w:t>月，标准编制工作组深入各地进行实地调研，并组织相关主管单位等召开标准研讨会，通过研讨会收集了大量意见，对标准草案进行了反复修改和研究讨论，</w:t>
      </w:r>
      <w:r>
        <w:rPr>
          <w:rFonts w:hint="default" w:ascii="Times New Roman" w:hAnsi="Times New Roman" w:eastAsia="仿宋_GB2312" w:cs="Times New Roman"/>
          <w:color w:val="000000"/>
          <w:spacing w:val="2"/>
          <w:sz w:val="32"/>
          <w:szCs w:val="32"/>
          <w:lang w:val="en-US" w:eastAsia="zh-CN"/>
        </w:rPr>
        <w:t>补充</w:t>
      </w:r>
      <w:r>
        <w:rPr>
          <w:rFonts w:hint="default" w:ascii="Times New Roman" w:hAnsi="Times New Roman" w:eastAsia="仿宋_GB2312" w:cs="Times New Roman"/>
          <w:color w:val="000000"/>
          <w:spacing w:val="2"/>
          <w:sz w:val="32"/>
          <w:szCs w:val="32"/>
        </w:rPr>
        <w:t>掌握了</w:t>
      </w:r>
      <w:r>
        <w:rPr>
          <w:rFonts w:hint="default" w:ascii="Times New Roman" w:hAnsi="Times New Roman" w:cs="Times New Roman"/>
          <w:sz w:val="32"/>
          <w:szCs w:val="32"/>
          <w:lang w:val="en-US" w:eastAsia="zh-CN"/>
        </w:rPr>
        <w:t>大果山楂</w:t>
      </w:r>
      <w:r>
        <w:rPr>
          <w:rFonts w:hint="eastAsia" w:ascii="Times New Roman" w:hAnsi="Times New Roman" w:cs="Times New Roman"/>
          <w:sz w:val="32"/>
          <w:szCs w:val="32"/>
          <w:lang w:val="en-US" w:eastAsia="zh-CN"/>
        </w:rPr>
        <w:t>原浆</w:t>
      </w:r>
      <w:r>
        <w:rPr>
          <w:rFonts w:hint="eastAsia" w:ascii="Times New Roman" w:hAnsi="Times New Roman" w:cs="Times New Roman"/>
          <w:color w:val="000000"/>
          <w:spacing w:val="2"/>
          <w:sz w:val="32"/>
          <w:szCs w:val="32"/>
          <w:lang w:val="en-US" w:eastAsia="zh-CN"/>
        </w:rPr>
        <w:t>生产的</w:t>
      </w:r>
      <w:r>
        <w:rPr>
          <w:rFonts w:hint="default" w:ascii="Times New Roman" w:hAnsi="Times New Roman" w:eastAsia="仿宋_GB2312" w:cs="Times New Roman"/>
          <w:color w:val="000000"/>
          <w:spacing w:val="2"/>
          <w:sz w:val="32"/>
          <w:szCs w:val="32"/>
        </w:rPr>
        <w:t>基本情况以及要求，最终形成了团体标准《</w:t>
      </w:r>
      <w:r>
        <w:rPr>
          <w:rFonts w:hint="default" w:ascii="Times New Roman" w:hAnsi="Times New Roman" w:cs="Times New Roman"/>
          <w:sz w:val="32"/>
          <w:szCs w:val="32"/>
          <w:lang w:val="en-US" w:eastAsia="zh-CN"/>
        </w:rPr>
        <w:t>大果山楂</w:t>
      </w:r>
      <w:r>
        <w:rPr>
          <w:rFonts w:hint="eastAsia" w:ascii="Times New Roman" w:hAnsi="Times New Roman" w:cs="Times New Roman"/>
          <w:sz w:val="32"/>
          <w:szCs w:val="32"/>
          <w:lang w:val="en-US" w:eastAsia="zh-CN"/>
        </w:rPr>
        <w:t>原浆</w:t>
      </w:r>
      <w:r>
        <w:rPr>
          <w:rFonts w:hint="default" w:ascii="Times New Roman" w:hAnsi="Times New Roman" w:eastAsia="仿宋_GB2312" w:cs="Times New Roman"/>
          <w:color w:val="000000"/>
          <w:spacing w:val="2"/>
          <w:sz w:val="32"/>
          <w:szCs w:val="32"/>
        </w:rPr>
        <w:t>》（征求意见稿）及其编制说明</w:t>
      </w:r>
      <w:r>
        <w:rPr>
          <w:rFonts w:hint="default" w:ascii="Times New Roman" w:hAnsi="Times New Roman" w:eastAsia="仿宋_GB2312" w:cs="Times New Roman"/>
          <w:color w:val="000000"/>
          <w:spacing w:val="2"/>
          <w:sz w:val="32"/>
          <w:szCs w:val="32"/>
          <w:lang w:eastAsia="zh-CN"/>
        </w:rPr>
        <w:t>（</w:t>
      </w:r>
      <w:r>
        <w:rPr>
          <w:rFonts w:hint="default" w:ascii="Times New Roman" w:hAnsi="Times New Roman" w:eastAsia="仿宋_GB2312" w:cs="Times New Roman"/>
          <w:color w:val="000000"/>
          <w:spacing w:val="2"/>
          <w:sz w:val="32"/>
          <w:szCs w:val="32"/>
          <w:lang w:val="en-US" w:eastAsia="zh-CN"/>
        </w:rPr>
        <w:t>初稿</w:t>
      </w:r>
      <w:r>
        <w:rPr>
          <w:rFonts w:hint="default" w:ascii="Times New Roman" w:hAnsi="Times New Roman" w:eastAsia="仿宋_GB2312" w:cs="Times New Roman"/>
          <w:color w:val="000000"/>
          <w:spacing w:val="2"/>
          <w:sz w:val="32"/>
          <w:szCs w:val="32"/>
          <w:lang w:eastAsia="zh-CN"/>
        </w:rPr>
        <w:t>）</w:t>
      </w:r>
      <w:r>
        <w:rPr>
          <w:rFonts w:hint="default" w:ascii="Times New Roman" w:hAnsi="Times New Roman" w:eastAsia="仿宋_GB2312" w:cs="Times New Roman"/>
          <w:color w:val="000000"/>
          <w:spacing w:val="2"/>
          <w:sz w:val="32"/>
          <w:szCs w:val="32"/>
        </w:rPr>
        <w:t>。</w:t>
      </w:r>
    </w:p>
    <w:p w14:paraId="296FF374">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color w:val="000000"/>
          <w:spacing w:val="2"/>
          <w:sz w:val="32"/>
          <w:szCs w:val="32"/>
        </w:rPr>
      </w:pPr>
      <w:r>
        <w:rPr>
          <w:rFonts w:hint="default" w:ascii="Times New Roman" w:hAnsi="Times New Roman" w:eastAsia="仿宋_GB2312" w:cs="Times New Roman"/>
          <w:color w:val="000000"/>
          <w:spacing w:val="2"/>
          <w:sz w:val="32"/>
          <w:szCs w:val="32"/>
        </w:rPr>
        <w:t>202</w:t>
      </w:r>
      <w:r>
        <w:rPr>
          <w:rFonts w:hint="default" w:ascii="Times New Roman" w:hAnsi="Times New Roman" w:eastAsia="仿宋_GB2312" w:cs="Times New Roman"/>
          <w:color w:val="000000"/>
          <w:spacing w:val="2"/>
          <w:sz w:val="32"/>
          <w:szCs w:val="32"/>
          <w:lang w:val="en-US" w:eastAsia="zh-CN"/>
        </w:rPr>
        <w:t>5</w:t>
      </w:r>
      <w:r>
        <w:rPr>
          <w:rFonts w:hint="default" w:ascii="Times New Roman" w:hAnsi="Times New Roman" w:eastAsia="仿宋_GB2312" w:cs="Times New Roman"/>
          <w:color w:val="000000"/>
          <w:spacing w:val="2"/>
          <w:sz w:val="32"/>
          <w:szCs w:val="32"/>
        </w:rPr>
        <w:t>年</w:t>
      </w:r>
      <w:r>
        <w:rPr>
          <w:rFonts w:hint="default" w:ascii="Times New Roman" w:hAnsi="Times New Roman" w:eastAsia="仿宋_GB2312" w:cs="Times New Roman"/>
          <w:color w:val="000000"/>
          <w:spacing w:val="2"/>
          <w:sz w:val="32"/>
          <w:szCs w:val="32"/>
          <w:lang w:val="en-US" w:eastAsia="zh-CN"/>
        </w:rPr>
        <w:t>X</w:t>
      </w:r>
      <w:r>
        <w:rPr>
          <w:rFonts w:hint="default" w:ascii="Times New Roman" w:hAnsi="Times New Roman" w:eastAsia="仿宋_GB2312" w:cs="Times New Roman"/>
          <w:color w:val="000000"/>
          <w:spacing w:val="2"/>
          <w:sz w:val="32"/>
          <w:szCs w:val="32"/>
        </w:rPr>
        <w:t>月，标准编制工作组向广西壮族自治区分析测试研究中心、广西-东盟食品检验检测中心[国家市场监督管理总局技术创新中心（天然香料香精）]、广西中医药研究院、广西中药质量标准研究重点实验室、广西靖西梁鹏食品有限公司、德保县壮宝酒厂有限公司、广西贺州市芬芳果蔬食品有限公司、广西国际商务职业技术学院、广西职业技术学院、广西轻工业科学技术研究院有限公司、广西陇桂投资集团有限公司、广西旅发大健康产业集团有限公司、广西农垦茶业集团有限公司</w:t>
      </w:r>
      <w:r>
        <w:rPr>
          <w:rFonts w:hint="default" w:ascii="Times New Roman" w:hAnsi="Times New Roman" w:eastAsia="仿宋_GB2312" w:cs="Times New Roman"/>
          <w:sz w:val="32"/>
          <w:szCs w:val="32"/>
        </w:rPr>
        <w:t>等单位</w:t>
      </w:r>
      <w:r>
        <w:rPr>
          <w:rFonts w:hint="default" w:ascii="Times New Roman" w:hAnsi="Times New Roman" w:eastAsia="仿宋_GB2312" w:cs="Times New Roman"/>
          <w:color w:val="000000"/>
          <w:spacing w:val="2"/>
          <w:sz w:val="32"/>
          <w:szCs w:val="32"/>
        </w:rPr>
        <w:t>专家征求意见</w:t>
      </w:r>
      <w:r>
        <w:rPr>
          <w:rFonts w:hint="default" w:ascii="Times New Roman" w:hAnsi="Times New Roman" w:eastAsia="仿宋_GB2312" w:cs="Times New Roman"/>
          <w:color w:val="000000"/>
          <w:spacing w:val="2"/>
          <w:sz w:val="32"/>
          <w:szCs w:val="32"/>
          <w:lang w:eastAsia="zh-CN"/>
        </w:rPr>
        <w:t>。</w:t>
      </w:r>
      <w:r>
        <w:rPr>
          <w:rFonts w:hint="default" w:ascii="Times New Roman" w:hAnsi="Times New Roman" w:eastAsia="仿宋_GB2312" w:cs="Times New Roman"/>
          <w:color w:val="000000"/>
          <w:spacing w:val="2"/>
          <w:sz w:val="32"/>
          <w:szCs w:val="32"/>
        </w:rPr>
        <w:t>标准编制工作组根据专家反馈的意见进行多次讨论与修改，梳理汇总形成征求意见处理汇总表，修改完善标准，最终形成了团体标准《</w:t>
      </w:r>
      <w:r>
        <w:rPr>
          <w:rFonts w:hint="default" w:ascii="Times New Roman" w:hAnsi="Times New Roman" w:cs="Times New Roman"/>
          <w:sz w:val="32"/>
          <w:szCs w:val="32"/>
          <w:lang w:val="en-US" w:eastAsia="zh-CN"/>
        </w:rPr>
        <w:t>大果山楂</w:t>
      </w:r>
      <w:r>
        <w:rPr>
          <w:rFonts w:hint="eastAsia" w:ascii="Times New Roman" w:hAnsi="Times New Roman" w:cs="Times New Roman"/>
          <w:sz w:val="32"/>
          <w:szCs w:val="32"/>
          <w:lang w:val="en-US" w:eastAsia="zh-CN"/>
        </w:rPr>
        <w:t>原浆</w:t>
      </w:r>
      <w:r>
        <w:rPr>
          <w:rFonts w:hint="default" w:ascii="Times New Roman" w:hAnsi="Times New Roman" w:eastAsia="仿宋_GB2312" w:cs="Times New Roman"/>
          <w:color w:val="000000"/>
          <w:spacing w:val="2"/>
          <w:sz w:val="32"/>
          <w:szCs w:val="32"/>
        </w:rPr>
        <w:t>》（送审稿）及其编制说明。</w:t>
      </w:r>
    </w:p>
    <w:p w14:paraId="3F5D8DE7">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四、制定标准的原则</w:t>
      </w:r>
    </w:p>
    <w:p w14:paraId="6893DC8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（一）实用性原则</w:t>
      </w:r>
    </w:p>
    <w:p w14:paraId="01B9744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本标准中有关</w:t>
      </w:r>
      <w:r>
        <w:rPr>
          <w:rFonts w:hint="default" w:ascii="Times New Roman" w:hAnsi="Times New Roman" w:cs="Times New Roman"/>
          <w:sz w:val="32"/>
          <w:szCs w:val="32"/>
          <w:lang w:val="en-US" w:eastAsia="zh-CN"/>
        </w:rPr>
        <w:t>大果山楂</w:t>
      </w:r>
      <w:r>
        <w:rPr>
          <w:rFonts w:hint="eastAsia" w:ascii="Times New Roman" w:hAnsi="Times New Roman" w:cs="Times New Roman"/>
          <w:sz w:val="32"/>
          <w:szCs w:val="32"/>
          <w:lang w:val="en-US" w:eastAsia="zh-CN"/>
        </w:rPr>
        <w:t>原浆</w:t>
      </w:r>
      <w:r>
        <w:rPr>
          <w:rFonts w:hint="default" w:ascii="Times New Roman" w:hAnsi="Times New Roman" w:eastAsia="仿宋_GB2312" w:cs="Times New Roman"/>
          <w:sz w:val="32"/>
          <w:szCs w:val="32"/>
        </w:rPr>
        <w:t>规定和要求，是在充分收集相关资料和文献基础上制定的，分析区内</w:t>
      </w:r>
      <w:r>
        <w:rPr>
          <w:rFonts w:hint="default" w:ascii="Times New Roman" w:hAnsi="Times New Roman" w:cs="Times New Roman"/>
          <w:sz w:val="32"/>
          <w:szCs w:val="32"/>
          <w:lang w:val="en-US" w:eastAsia="zh-CN"/>
        </w:rPr>
        <w:t>大果山楂</w:t>
      </w:r>
      <w:r>
        <w:rPr>
          <w:rFonts w:hint="eastAsia" w:ascii="Times New Roman" w:hAnsi="Times New Roman" w:cs="Times New Roman"/>
          <w:sz w:val="32"/>
          <w:szCs w:val="32"/>
          <w:lang w:val="en-US" w:eastAsia="zh-CN"/>
        </w:rPr>
        <w:t>种植</w:t>
      </w:r>
      <w:r>
        <w:rPr>
          <w:rFonts w:hint="default" w:ascii="Times New Roman" w:hAnsi="Times New Roman" w:eastAsia="仿宋_GB2312" w:cs="Times New Roman"/>
          <w:sz w:val="32"/>
          <w:szCs w:val="32"/>
        </w:rPr>
        <w:t>现状，调研区内</w:t>
      </w:r>
      <w:r>
        <w:rPr>
          <w:rFonts w:hint="eastAsia" w:ascii="Times New Roman" w:hAnsi="Times New Roman" w:cs="Times New Roman"/>
          <w:sz w:val="32"/>
          <w:szCs w:val="32"/>
          <w:lang w:val="en-US" w:eastAsia="zh-CN"/>
        </w:rPr>
        <w:t>大果山楂</w:t>
      </w:r>
      <w:r>
        <w:rPr>
          <w:rFonts w:hint="default" w:ascii="Times New Roman" w:hAnsi="Times New Roman" w:eastAsia="仿宋_GB2312" w:cs="Times New Roman"/>
          <w:sz w:val="32"/>
          <w:szCs w:val="32"/>
        </w:rPr>
        <w:t>加工及产品开发应用情况</w:t>
      </w:r>
      <w:r>
        <w:rPr>
          <w:rFonts w:hint="default" w:ascii="Times New Roman" w:hAnsi="Times New Roman" w:eastAsia="仿宋_GB2312" w:cs="Times New Roman"/>
          <w:spacing w:val="2"/>
          <w:sz w:val="32"/>
          <w:szCs w:val="32"/>
        </w:rPr>
        <w:t>，在现有国家、行业标准相关</w:t>
      </w:r>
      <w:r>
        <w:rPr>
          <w:rFonts w:hint="eastAsia" w:ascii="Times New Roman" w:hAnsi="Times New Roman" w:cs="Times New Roman"/>
          <w:color w:val="000000"/>
          <w:spacing w:val="2"/>
          <w:sz w:val="32"/>
          <w:szCs w:val="32"/>
          <w:lang w:val="en-US" w:eastAsia="zh-CN"/>
        </w:rPr>
        <w:t>产</w:t>
      </w:r>
      <w:r>
        <w:rPr>
          <w:rFonts w:hint="default" w:ascii="Times New Roman" w:hAnsi="Times New Roman" w:eastAsia="仿宋_GB2312" w:cs="Times New Roman"/>
          <w:color w:val="000000"/>
          <w:spacing w:val="2"/>
          <w:sz w:val="32"/>
          <w:szCs w:val="32"/>
        </w:rPr>
        <w:t>品</w:t>
      </w:r>
      <w:r>
        <w:rPr>
          <w:rFonts w:hint="default" w:ascii="Times New Roman" w:hAnsi="Times New Roman" w:eastAsia="仿宋_GB2312" w:cs="Times New Roman"/>
          <w:spacing w:val="2"/>
          <w:sz w:val="32"/>
          <w:szCs w:val="32"/>
        </w:rPr>
        <w:t>要求的基础上，结合起草单位多年的关于</w:t>
      </w:r>
      <w:r>
        <w:rPr>
          <w:rFonts w:hint="eastAsia" w:ascii="Times New Roman" w:hAnsi="Times New Roman" w:cs="Times New Roman"/>
          <w:color w:val="000000"/>
          <w:spacing w:val="2"/>
          <w:sz w:val="32"/>
          <w:szCs w:val="32"/>
          <w:lang w:val="en-US" w:eastAsia="zh-CN"/>
        </w:rPr>
        <w:t>大果山楂产品</w:t>
      </w:r>
      <w:r>
        <w:rPr>
          <w:rFonts w:hint="default" w:ascii="Times New Roman" w:hAnsi="Times New Roman" w:eastAsia="仿宋_GB2312" w:cs="Times New Roman"/>
          <w:color w:val="000000"/>
          <w:spacing w:val="2"/>
          <w:sz w:val="32"/>
          <w:szCs w:val="32"/>
          <w:lang w:val="en-US" w:eastAsia="zh-CN"/>
        </w:rPr>
        <w:t>加工</w:t>
      </w:r>
      <w:r>
        <w:rPr>
          <w:rFonts w:hint="default" w:ascii="Times New Roman" w:hAnsi="Times New Roman" w:eastAsia="仿宋_GB2312" w:cs="Times New Roman"/>
          <w:spacing w:val="2"/>
          <w:sz w:val="32"/>
          <w:szCs w:val="32"/>
        </w:rPr>
        <w:t>技术研究经验而总结起草的，符合当前</w:t>
      </w:r>
      <w:r>
        <w:rPr>
          <w:rFonts w:hint="eastAsia" w:ascii="Times New Roman" w:hAnsi="Times New Roman" w:cs="Times New Roman"/>
          <w:color w:val="000000"/>
          <w:spacing w:val="2"/>
          <w:sz w:val="32"/>
          <w:szCs w:val="32"/>
          <w:lang w:val="en-US" w:eastAsia="zh-CN"/>
        </w:rPr>
        <w:t>大果山楂产品</w:t>
      </w:r>
      <w:r>
        <w:rPr>
          <w:rFonts w:hint="default" w:ascii="Times New Roman" w:hAnsi="Times New Roman" w:eastAsia="仿宋_GB2312" w:cs="Times New Roman"/>
          <w:spacing w:val="2"/>
          <w:sz w:val="32"/>
          <w:szCs w:val="32"/>
        </w:rPr>
        <w:t>发展方向与市场需求，有利于行业的长远发展，提高农民经济效益，对推动</w:t>
      </w:r>
      <w:r>
        <w:rPr>
          <w:rFonts w:hint="eastAsia" w:ascii="Times New Roman" w:hAnsi="Times New Roman" w:cs="Times New Roman"/>
          <w:color w:val="000000"/>
          <w:spacing w:val="2"/>
          <w:sz w:val="32"/>
          <w:szCs w:val="32"/>
          <w:lang w:val="en-US" w:eastAsia="zh-CN"/>
        </w:rPr>
        <w:t>大果山楂加工</w:t>
      </w:r>
      <w:r>
        <w:rPr>
          <w:rFonts w:hint="default" w:ascii="Times New Roman" w:hAnsi="Times New Roman" w:eastAsia="仿宋_GB2312" w:cs="Times New Roman"/>
          <w:spacing w:val="2"/>
          <w:sz w:val="32"/>
          <w:szCs w:val="32"/>
        </w:rPr>
        <w:t>产业健康发展，促进农民增收致富，具有较强的实用性和可操作性。</w:t>
      </w:r>
    </w:p>
    <w:p w14:paraId="30A042F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（二）协调性原则</w:t>
      </w:r>
    </w:p>
    <w:p w14:paraId="5742799A">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eastAsia" w:ascii="Times New Roman" w:hAnsi="Times New Roman" w:cs="Times New Roman"/>
          <w:sz w:val="32"/>
          <w:szCs w:val="32"/>
          <w:lang w:val="en-US" w:eastAsia="zh-CN"/>
        </w:rPr>
        <w:t>大果山楂原浆</w:t>
      </w:r>
      <w:r>
        <w:rPr>
          <w:rFonts w:hint="default" w:ascii="Times New Roman" w:hAnsi="Times New Roman" w:eastAsia="仿宋_GB2312" w:cs="Times New Roman"/>
          <w:sz w:val="32"/>
          <w:szCs w:val="32"/>
        </w:rPr>
        <w:t>无国际标准，本标准在编写过程中注意了与</w:t>
      </w:r>
      <w:r>
        <w:rPr>
          <w:rFonts w:hint="default" w:ascii="Times New Roman" w:hAnsi="Times New Roman" w:eastAsia="仿宋_GB2312" w:cs="Times New Roman"/>
          <w:sz w:val="32"/>
          <w:szCs w:val="32"/>
          <w:lang w:val="en-US" w:eastAsia="zh-CN"/>
        </w:rPr>
        <w:t>其他</w:t>
      </w:r>
      <w:r>
        <w:rPr>
          <w:rFonts w:hint="eastAsia" w:ascii="Times New Roman" w:hAnsi="Times New Roman" w:cs="Times New Roman"/>
          <w:sz w:val="32"/>
          <w:szCs w:val="32"/>
          <w:lang w:val="en-US" w:eastAsia="zh-CN"/>
        </w:rPr>
        <w:t>果浆产品</w:t>
      </w:r>
      <w:r>
        <w:rPr>
          <w:rFonts w:hint="default" w:ascii="Times New Roman" w:hAnsi="Times New Roman" w:eastAsia="仿宋_GB2312" w:cs="Times New Roman"/>
          <w:sz w:val="32"/>
          <w:szCs w:val="32"/>
        </w:rPr>
        <w:t>标准的协调问题，在内容上与现行法律法规、标准协调一致。</w:t>
      </w:r>
    </w:p>
    <w:p w14:paraId="4E28BF6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（三）规范性原则</w:t>
      </w:r>
    </w:p>
    <w:p w14:paraId="084AB13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本标准严格按照GB/T 1.1—2009《标准化工作导则 第1部分：标准的结构和编写》的要求和规定编写本标准的内容，保证标准的编写质量。</w:t>
      </w:r>
    </w:p>
    <w:p w14:paraId="10B5A58D">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（四）前瞻性原则</w:t>
      </w:r>
    </w:p>
    <w:p w14:paraId="19AF044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本标准在兼顾当前</w:t>
      </w:r>
      <w:r>
        <w:rPr>
          <w:rFonts w:hint="eastAsia" w:ascii="Times New Roman" w:hAnsi="Times New Roman" w:cs="Times New Roman"/>
          <w:color w:val="000000"/>
          <w:spacing w:val="2"/>
          <w:sz w:val="32"/>
          <w:szCs w:val="32"/>
          <w:lang w:val="en-US" w:eastAsia="zh-CN"/>
        </w:rPr>
        <w:t>大果山楂产品实际</w:t>
      </w:r>
      <w:r>
        <w:rPr>
          <w:rFonts w:hint="default" w:ascii="Times New Roman" w:hAnsi="Times New Roman" w:eastAsia="仿宋_GB2312" w:cs="Times New Roman"/>
          <w:sz w:val="32"/>
          <w:szCs w:val="32"/>
        </w:rPr>
        <w:t>生产情况的同时，还考虑到</w:t>
      </w:r>
      <w:r>
        <w:rPr>
          <w:rFonts w:hint="eastAsia" w:ascii="Times New Roman" w:hAnsi="Times New Roman" w:cs="Times New Roman"/>
          <w:sz w:val="32"/>
          <w:szCs w:val="32"/>
          <w:lang w:val="en-US" w:eastAsia="zh-CN"/>
        </w:rPr>
        <w:t>大果山楂</w:t>
      </w:r>
      <w:r>
        <w:rPr>
          <w:rFonts w:hint="default" w:ascii="Times New Roman" w:hAnsi="Times New Roman" w:eastAsia="仿宋_GB2312" w:cs="Times New Roman"/>
          <w:sz w:val="32"/>
          <w:szCs w:val="32"/>
        </w:rPr>
        <w:t>快速发展的趋势和需要，在标准中体现了个别特色性、前瞻性和先进性条款，作为对</w:t>
      </w:r>
      <w:r>
        <w:rPr>
          <w:rFonts w:hint="eastAsia" w:ascii="Times New Roman" w:hAnsi="Times New Roman" w:cs="Times New Roman"/>
          <w:sz w:val="32"/>
          <w:szCs w:val="32"/>
          <w:lang w:val="en-US" w:eastAsia="zh-CN"/>
        </w:rPr>
        <w:t>大果山楂加工产</w:t>
      </w:r>
      <w:r>
        <w:rPr>
          <w:rFonts w:hint="default" w:ascii="Times New Roman" w:hAnsi="Times New Roman" w:eastAsia="仿宋_GB2312" w:cs="Times New Roman"/>
          <w:sz w:val="32"/>
          <w:szCs w:val="32"/>
          <w:lang w:val="en-US" w:eastAsia="zh-CN"/>
        </w:rPr>
        <w:t>品</w:t>
      </w:r>
      <w:r>
        <w:rPr>
          <w:rFonts w:hint="default" w:ascii="Times New Roman" w:hAnsi="Times New Roman" w:eastAsia="仿宋_GB2312" w:cs="Times New Roman"/>
          <w:sz w:val="32"/>
          <w:szCs w:val="32"/>
        </w:rPr>
        <w:t>发展的指导。</w:t>
      </w:r>
    </w:p>
    <w:p w14:paraId="3577350E">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rPr>
        <w:t>五、</w:t>
      </w:r>
      <w:r>
        <w:rPr>
          <w:rFonts w:hint="eastAsia" w:ascii="黑体" w:hAnsi="黑体" w:eastAsia="黑体" w:cs="黑体"/>
          <w:b w:val="0"/>
          <w:bCs/>
          <w:sz w:val="32"/>
          <w:szCs w:val="32"/>
          <w:lang w:val="en-US" w:eastAsia="zh-CN"/>
        </w:rPr>
        <w:t>标准主要内容及依据来源</w:t>
      </w:r>
    </w:p>
    <w:p w14:paraId="6F988A2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FF0000"/>
          <w:sz w:val="32"/>
          <w:szCs w:val="32"/>
        </w:rPr>
      </w:pPr>
      <w:r>
        <w:rPr>
          <w:rFonts w:hint="eastAsia" w:ascii="Times New Roman" w:hAnsi="Times New Roman" w:cs="Times New Roman"/>
          <w:sz w:val="32"/>
          <w:szCs w:val="32"/>
          <w:lang w:val="en-US" w:eastAsia="zh-CN"/>
        </w:rPr>
        <w:t>大果山楂原浆</w:t>
      </w:r>
      <w:r>
        <w:rPr>
          <w:rFonts w:hint="default" w:ascii="Times New Roman" w:hAnsi="Times New Roman" w:eastAsia="仿宋_GB2312" w:cs="Times New Roman"/>
          <w:sz w:val="32"/>
          <w:szCs w:val="32"/>
        </w:rPr>
        <w:t>由</w:t>
      </w:r>
      <w:r>
        <w:rPr>
          <w:rFonts w:hint="default" w:ascii="Times New Roman" w:hAnsi="Times New Roman" w:eastAsia="仿宋_GB2312" w:cs="Times New Roman"/>
          <w:sz w:val="32"/>
          <w:szCs w:val="32"/>
          <w:lang w:eastAsia="zh-CN"/>
        </w:rPr>
        <w:t>广西靖西梁鹏食品有限公司</w:t>
      </w:r>
      <w:r>
        <w:rPr>
          <w:rFonts w:hint="default" w:ascii="Times New Roman" w:hAnsi="Times New Roman" w:eastAsia="仿宋_GB2312" w:cs="Times New Roman"/>
          <w:sz w:val="32"/>
          <w:szCs w:val="32"/>
        </w:rPr>
        <w:t>加工生产，共10个批次。</w:t>
      </w:r>
    </w:p>
    <w:p w14:paraId="7D7F1F96">
      <w:pPr>
        <w:keepNext w:val="0"/>
        <w:keepLines w:val="0"/>
        <w:pageBreakBefore w:val="0"/>
        <w:widowControl w:val="0"/>
        <w:kinsoku/>
        <w:wordWrap/>
        <w:overflowPunct/>
        <w:topLinePunct w:val="0"/>
        <w:autoSpaceDE/>
        <w:autoSpaceDN/>
        <w:bidi w:val="0"/>
        <w:adjustRightInd w:val="0"/>
        <w:snapToGrid w:val="0"/>
        <w:spacing w:line="560" w:lineRule="exact"/>
        <w:ind w:firstLine="64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表1  不同批次</w:t>
      </w:r>
      <w:r>
        <w:rPr>
          <w:rFonts w:hint="eastAsia" w:ascii="Times New Roman" w:hAnsi="Times New Roman" w:cs="Times New Roman"/>
          <w:sz w:val="32"/>
          <w:szCs w:val="32"/>
          <w:lang w:val="en-US" w:eastAsia="zh-CN"/>
        </w:rPr>
        <w:t>大果山楂原浆</w:t>
      </w:r>
      <w:r>
        <w:rPr>
          <w:rFonts w:hint="default" w:ascii="Times New Roman" w:hAnsi="Times New Roman" w:eastAsia="仿宋_GB2312" w:cs="Times New Roman"/>
          <w:sz w:val="32"/>
          <w:szCs w:val="32"/>
        </w:rPr>
        <w:t>样品来源信息</w:t>
      </w:r>
    </w:p>
    <w:tbl>
      <w:tblPr>
        <w:tblStyle w:val="5"/>
        <w:tblW w:w="7054" w:type="dxa"/>
        <w:jc w:val="center"/>
        <w:tblLayout w:type="fixed"/>
        <w:tblCellMar>
          <w:top w:w="0" w:type="dxa"/>
          <w:left w:w="108" w:type="dxa"/>
          <w:bottom w:w="0" w:type="dxa"/>
          <w:right w:w="108" w:type="dxa"/>
        </w:tblCellMar>
      </w:tblPr>
      <w:tblGrid>
        <w:gridCol w:w="1096"/>
        <w:gridCol w:w="5958"/>
      </w:tblGrid>
      <w:tr w14:paraId="14A83F20">
        <w:tblPrEx>
          <w:tblCellMar>
            <w:top w:w="0" w:type="dxa"/>
            <w:left w:w="108" w:type="dxa"/>
            <w:bottom w:w="0" w:type="dxa"/>
            <w:right w:w="108" w:type="dxa"/>
          </w:tblCellMar>
        </w:tblPrEx>
        <w:trPr>
          <w:tblHeader/>
          <w:jc w:val="center"/>
        </w:trPr>
        <w:tc>
          <w:tcPr>
            <w:tcW w:w="1096" w:type="dxa"/>
            <w:tcBorders>
              <w:top w:val="single" w:color="auto" w:sz="4" w:space="0"/>
              <w:bottom w:val="single" w:color="auto" w:sz="4" w:space="0"/>
            </w:tcBorders>
            <w:vAlign w:val="center"/>
          </w:tcPr>
          <w:p w14:paraId="59FAB1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编号</w:t>
            </w:r>
          </w:p>
        </w:tc>
        <w:tc>
          <w:tcPr>
            <w:tcW w:w="5958" w:type="dxa"/>
            <w:tcBorders>
              <w:top w:val="single" w:color="auto" w:sz="4" w:space="0"/>
              <w:bottom w:val="single" w:color="auto" w:sz="4" w:space="0"/>
            </w:tcBorders>
            <w:vAlign w:val="center"/>
          </w:tcPr>
          <w:p w14:paraId="19964DB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来源</w:t>
            </w:r>
          </w:p>
        </w:tc>
      </w:tr>
      <w:tr w14:paraId="6BF02C17">
        <w:tblPrEx>
          <w:tblCellMar>
            <w:top w:w="0" w:type="dxa"/>
            <w:left w:w="108" w:type="dxa"/>
            <w:bottom w:w="0" w:type="dxa"/>
            <w:right w:w="108" w:type="dxa"/>
          </w:tblCellMar>
        </w:tblPrEx>
        <w:trPr>
          <w:jc w:val="center"/>
        </w:trPr>
        <w:tc>
          <w:tcPr>
            <w:tcW w:w="1096" w:type="dxa"/>
            <w:tcBorders>
              <w:top w:val="single" w:color="auto" w:sz="4" w:space="0"/>
            </w:tcBorders>
            <w:vAlign w:val="center"/>
          </w:tcPr>
          <w:p w14:paraId="181B209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w:t>
            </w:r>
          </w:p>
        </w:tc>
        <w:tc>
          <w:tcPr>
            <w:tcW w:w="5958" w:type="dxa"/>
            <w:tcBorders>
              <w:top w:val="single" w:color="auto" w:sz="4" w:space="0"/>
            </w:tcBorders>
            <w:vAlign w:val="center"/>
          </w:tcPr>
          <w:p w14:paraId="747FAD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13C46009">
        <w:tblPrEx>
          <w:tblCellMar>
            <w:top w:w="0" w:type="dxa"/>
            <w:left w:w="108" w:type="dxa"/>
            <w:bottom w:w="0" w:type="dxa"/>
            <w:right w:w="108" w:type="dxa"/>
          </w:tblCellMar>
        </w:tblPrEx>
        <w:trPr>
          <w:jc w:val="center"/>
        </w:trPr>
        <w:tc>
          <w:tcPr>
            <w:tcW w:w="1096" w:type="dxa"/>
            <w:vAlign w:val="center"/>
          </w:tcPr>
          <w:p w14:paraId="40F8C1E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IP-2</w:t>
            </w:r>
          </w:p>
        </w:tc>
        <w:tc>
          <w:tcPr>
            <w:tcW w:w="5958" w:type="dxa"/>
            <w:vAlign w:val="center"/>
          </w:tcPr>
          <w:p w14:paraId="14D89F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59263433">
        <w:tblPrEx>
          <w:tblCellMar>
            <w:top w:w="0" w:type="dxa"/>
            <w:left w:w="108" w:type="dxa"/>
            <w:bottom w:w="0" w:type="dxa"/>
            <w:right w:w="108" w:type="dxa"/>
          </w:tblCellMar>
        </w:tblPrEx>
        <w:trPr>
          <w:jc w:val="center"/>
        </w:trPr>
        <w:tc>
          <w:tcPr>
            <w:tcW w:w="1096" w:type="dxa"/>
            <w:vAlign w:val="center"/>
          </w:tcPr>
          <w:p w14:paraId="2BA4E58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IP-3</w:t>
            </w:r>
          </w:p>
        </w:tc>
        <w:tc>
          <w:tcPr>
            <w:tcW w:w="5958" w:type="dxa"/>
            <w:vAlign w:val="center"/>
          </w:tcPr>
          <w:p w14:paraId="7B9CA00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79F943F3">
        <w:tblPrEx>
          <w:tblCellMar>
            <w:top w:w="0" w:type="dxa"/>
            <w:left w:w="108" w:type="dxa"/>
            <w:bottom w:w="0" w:type="dxa"/>
            <w:right w:w="108" w:type="dxa"/>
          </w:tblCellMar>
        </w:tblPrEx>
        <w:trPr>
          <w:jc w:val="center"/>
        </w:trPr>
        <w:tc>
          <w:tcPr>
            <w:tcW w:w="1096" w:type="dxa"/>
            <w:vAlign w:val="center"/>
          </w:tcPr>
          <w:p w14:paraId="733D6B4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IP-4</w:t>
            </w:r>
          </w:p>
        </w:tc>
        <w:tc>
          <w:tcPr>
            <w:tcW w:w="5958" w:type="dxa"/>
            <w:vAlign w:val="center"/>
          </w:tcPr>
          <w:p w14:paraId="365E2AB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5CB1FB27">
        <w:tblPrEx>
          <w:tblCellMar>
            <w:top w:w="0" w:type="dxa"/>
            <w:left w:w="108" w:type="dxa"/>
            <w:bottom w:w="0" w:type="dxa"/>
            <w:right w:w="108" w:type="dxa"/>
          </w:tblCellMar>
        </w:tblPrEx>
        <w:trPr>
          <w:jc w:val="center"/>
        </w:trPr>
        <w:tc>
          <w:tcPr>
            <w:tcW w:w="1096" w:type="dxa"/>
            <w:vAlign w:val="center"/>
          </w:tcPr>
          <w:p w14:paraId="694071D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IP-5</w:t>
            </w:r>
          </w:p>
        </w:tc>
        <w:tc>
          <w:tcPr>
            <w:tcW w:w="5958" w:type="dxa"/>
            <w:vAlign w:val="center"/>
          </w:tcPr>
          <w:p w14:paraId="1A3E3AD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67E19975">
        <w:tblPrEx>
          <w:tblCellMar>
            <w:top w:w="0" w:type="dxa"/>
            <w:left w:w="108" w:type="dxa"/>
            <w:bottom w:w="0" w:type="dxa"/>
            <w:right w:w="108" w:type="dxa"/>
          </w:tblCellMar>
        </w:tblPrEx>
        <w:trPr>
          <w:jc w:val="center"/>
        </w:trPr>
        <w:tc>
          <w:tcPr>
            <w:tcW w:w="1096" w:type="dxa"/>
            <w:vAlign w:val="center"/>
          </w:tcPr>
          <w:p w14:paraId="7DB46A0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IP-6</w:t>
            </w:r>
          </w:p>
        </w:tc>
        <w:tc>
          <w:tcPr>
            <w:tcW w:w="5958" w:type="dxa"/>
            <w:vAlign w:val="center"/>
          </w:tcPr>
          <w:p w14:paraId="099CB97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7FE546A7">
        <w:tblPrEx>
          <w:tblCellMar>
            <w:top w:w="0" w:type="dxa"/>
            <w:left w:w="108" w:type="dxa"/>
            <w:bottom w:w="0" w:type="dxa"/>
            <w:right w:w="108" w:type="dxa"/>
          </w:tblCellMar>
        </w:tblPrEx>
        <w:trPr>
          <w:jc w:val="center"/>
        </w:trPr>
        <w:tc>
          <w:tcPr>
            <w:tcW w:w="1096" w:type="dxa"/>
            <w:vAlign w:val="center"/>
          </w:tcPr>
          <w:p w14:paraId="22981F6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IP-7</w:t>
            </w:r>
          </w:p>
        </w:tc>
        <w:tc>
          <w:tcPr>
            <w:tcW w:w="5958" w:type="dxa"/>
            <w:vAlign w:val="center"/>
          </w:tcPr>
          <w:p w14:paraId="67D430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6C5DEE00">
        <w:tblPrEx>
          <w:tblCellMar>
            <w:top w:w="0" w:type="dxa"/>
            <w:left w:w="108" w:type="dxa"/>
            <w:bottom w:w="0" w:type="dxa"/>
            <w:right w:w="108" w:type="dxa"/>
          </w:tblCellMar>
        </w:tblPrEx>
        <w:trPr>
          <w:jc w:val="center"/>
        </w:trPr>
        <w:tc>
          <w:tcPr>
            <w:tcW w:w="1096" w:type="dxa"/>
            <w:vAlign w:val="center"/>
          </w:tcPr>
          <w:p w14:paraId="2A26AB7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IP-8</w:t>
            </w:r>
          </w:p>
        </w:tc>
        <w:tc>
          <w:tcPr>
            <w:tcW w:w="5958" w:type="dxa"/>
            <w:vAlign w:val="center"/>
          </w:tcPr>
          <w:p w14:paraId="4182555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17504645">
        <w:tblPrEx>
          <w:tblCellMar>
            <w:top w:w="0" w:type="dxa"/>
            <w:left w:w="108" w:type="dxa"/>
            <w:bottom w:w="0" w:type="dxa"/>
            <w:right w:w="108" w:type="dxa"/>
          </w:tblCellMar>
        </w:tblPrEx>
        <w:trPr>
          <w:jc w:val="center"/>
        </w:trPr>
        <w:tc>
          <w:tcPr>
            <w:tcW w:w="1096" w:type="dxa"/>
            <w:vAlign w:val="center"/>
          </w:tcPr>
          <w:p w14:paraId="22F66A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IP-9</w:t>
            </w:r>
          </w:p>
        </w:tc>
        <w:tc>
          <w:tcPr>
            <w:tcW w:w="5958" w:type="dxa"/>
            <w:vAlign w:val="center"/>
          </w:tcPr>
          <w:p w14:paraId="78A9B37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1776FF82">
        <w:tblPrEx>
          <w:tblCellMar>
            <w:top w:w="0" w:type="dxa"/>
            <w:left w:w="108" w:type="dxa"/>
            <w:bottom w:w="0" w:type="dxa"/>
            <w:right w:w="108" w:type="dxa"/>
          </w:tblCellMar>
        </w:tblPrEx>
        <w:trPr>
          <w:jc w:val="center"/>
        </w:trPr>
        <w:tc>
          <w:tcPr>
            <w:tcW w:w="1096" w:type="dxa"/>
            <w:tcBorders>
              <w:bottom w:val="single" w:color="auto" w:sz="4" w:space="0"/>
            </w:tcBorders>
            <w:vAlign w:val="center"/>
          </w:tcPr>
          <w:p w14:paraId="3200CE8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IP-10</w:t>
            </w:r>
          </w:p>
        </w:tc>
        <w:tc>
          <w:tcPr>
            <w:tcW w:w="5958" w:type="dxa"/>
            <w:tcBorders>
              <w:bottom w:val="single" w:color="auto" w:sz="4" w:space="0"/>
            </w:tcBorders>
            <w:vAlign w:val="center"/>
          </w:tcPr>
          <w:p w14:paraId="4FD0294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bl>
    <w:p w14:paraId="641CDCA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eastAsia="仿宋_GB2312" w:cs="Times New Roman"/>
          <w:color w:val="000000"/>
          <w:spacing w:val="2"/>
          <w:sz w:val="32"/>
          <w:szCs w:val="32"/>
          <w:lang w:eastAsia="zh-CN"/>
        </w:rPr>
      </w:pPr>
    </w:p>
    <w:p w14:paraId="1DDE3BF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Times New Roman"/>
          <w:color w:val="000000"/>
          <w:spacing w:val="2"/>
          <w:sz w:val="32"/>
          <w:szCs w:val="32"/>
          <w:lang w:eastAsia="zh-CN"/>
        </w:rPr>
      </w:pPr>
      <w:r>
        <w:rPr>
          <w:rFonts w:hint="eastAsia" w:ascii="Times New Roman" w:hAnsi="Times New Roman" w:eastAsia="仿宋_GB2312" w:cs="Times New Roman"/>
          <w:color w:val="000000"/>
          <w:spacing w:val="2"/>
          <w:sz w:val="32"/>
          <w:szCs w:val="32"/>
          <w:lang w:eastAsia="zh-CN"/>
        </w:rPr>
        <w:drawing>
          <wp:inline distT="0" distB="0" distL="114300" distR="114300">
            <wp:extent cx="2734945" cy="1824990"/>
            <wp:effectExtent l="0" t="0" r="8255" b="3810"/>
            <wp:docPr id="7" name="图片 7" descr="IMG_8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8491"/>
                    <pic:cNvPicPr>
                      <a:picLocks noChangeAspect="1"/>
                    </pic:cNvPicPr>
                  </pic:nvPicPr>
                  <pic:blipFill>
                    <a:blip r:embed="rId7"/>
                    <a:stretch>
                      <a:fillRect/>
                    </a:stretch>
                  </pic:blipFill>
                  <pic:spPr>
                    <a:xfrm>
                      <a:off x="0" y="0"/>
                      <a:ext cx="2734945" cy="1824990"/>
                    </a:xfrm>
                    <a:prstGeom prst="rect">
                      <a:avLst/>
                    </a:prstGeom>
                  </pic:spPr>
                </pic:pic>
              </a:graphicData>
            </a:graphic>
          </wp:inline>
        </w:drawing>
      </w:r>
      <w:r>
        <w:rPr>
          <w:rFonts w:hint="eastAsia" w:ascii="Times New Roman" w:hAnsi="Times New Roman" w:cs="Times New Roman"/>
          <w:color w:val="000000"/>
          <w:spacing w:val="2"/>
          <w:sz w:val="32"/>
          <w:szCs w:val="32"/>
          <w:lang w:val="en-US" w:eastAsia="zh-CN"/>
        </w:rPr>
        <w:t xml:space="preserve"> </w:t>
      </w:r>
      <w:r>
        <w:rPr>
          <w:rFonts w:hint="eastAsia" w:ascii="Times New Roman" w:hAnsi="Times New Roman" w:eastAsia="仿宋_GB2312" w:cs="Times New Roman"/>
          <w:color w:val="000000"/>
          <w:spacing w:val="2"/>
          <w:sz w:val="32"/>
          <w:szCs w:val="32"/>
          <w:lang w:eastAsia="zh-CN"/>
        </w:rPr>
        <w:drawing>
          <wp:inline distT="0" distB="0" distL="114300" distR="114300">
            <wp:extent cx="2734945" cy="1824990"/>
            <wp:effectExtent l="0" t="0" r="8255" b="3810"/>
            <wp:docPr id="6" name="图片 6" descr="IMG_8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8473"/>
                    <pic:cNvPicPr>
                      <a:picLocks noChangeAspect="1"/>
                    </pic:cNvPicPr>
                  </pic:nvPicPr>
                  <pic:blipFill>
                    <a:blip r:embed="rId8"/>
                    <a:stretch>
                      <a:fillRect/>
                    </a:stretch>
                  </pic:blipFill>
                  <pic:spPr>
                    <a:xfrm>
                      <a:off x="0" y="0"/>
                      <a:ext cx="2734945" cy="1824990"/>
                    </a:xfrm>
                    <a:prstGeom prst="rect">
                      <a:avLst/>
                    </a:prstGeom>
                  </pic:spPr>
                </pic:pic>
              </a:graphicData>
            </a:graphic>
          </wp:inline>
        </w:drawing>
      </w:r>
    </w:p>
    <w:p w14:paraId="1200CC1C">
      <w:pPr>
        <w:keepNext w:val="0"/>
        <w:keepLines w:val="0"/>
        <w:pageBreakBefore w:val="0"/>
        <w:widowControl w:val="0"/>
        <w:kinsoku/>
        <w:wordWrap/>
        <w:overflowPunct/>
        <w:topLinePunct w:val="0"/>
        <w:autoSpaceDE/>
        <w:autoSpaceDN/>
        <w:bidi w:val="0"/>
        <w:adjustRightInd w:val="0"/>
        <w:snapToGrid w:val="0"/>
        <w:spacing w:line="240" w:lineRule="auto"/>
        <w:ind w:firstLine="430" w:firstLineChars="200"/>
        <w:textAlignment w:val="auto"/>
        <w:rPr>
          <w:rFonts w:hint="default" w:ascii="Times New Roman" w:hAnsi="Times New Roman" w:eastAsia="仿宋_GB2312" w:cs="Times New Roman"/>
          <w:b/>
          <w:bCs/>
          <w:color w:val="000000"/>
          <w:spacing w:val="2"/>
          <w:sz w:val="21"/>
          <w:szCs w:val="21"/>
          <w:lang w:val="en-US" w:eastAsia="zh-CN"/>
        </w:rPr>
      </w:pPr>
      <w:r>
        <w:rPr>
          <w:rFonts w:hint="eastAsia" w:ascii="Times New Roman" w:hAnsi="Times New Roman" w:cs="Times New Roman"/>
          <w:b/>
          <w:bCs/>
          <w:color w:val="000000"/>
          <w:spacing w:val="2"/>
          <w:sz w:val="21"/>
          <w:szCs w:val="21"/>
          <w:lang w:val="en-US" w:eastAsia="zh-CN"/>
        </w:rPr>
        <w:t>图3  大果山楂原浆指标检测仪器           图4  大果山楂原浆生产设备</w:t>
      </w:r>
    </w:p>
    <w:p w14:paraId="76E38092">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（一）原料要求</w:t>
      </w:r>
    </w:p>
    <w:p w14:paraId="1942907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val="en-US" w:eastAsia="zh-CN"/>
        </w:rPr>
        <w:t>为</w:t>
      </w:r>
      <w:r>
        <w:rPr>
          <w:rFonts w:hint="default" w:ascii="Times New Roman" w:hAnsi="Times New Roman" w:eastAsia="仿宋_GB2312" w:cs="Times New Roman"/>
          <w:sz w:val="32"/>
          <w:szCs w:val="32"/>
        </w:rPr>
        <w:t>保证果实含有足够的营养成分与风味物质，又能避免因过度成熟导致的果实软烂、变质风险，参考</w:t>
      </w:r>
      <w:r>
        <w:rPr>
          <w:rFonts w:hint="eastAsia" w:ascii="Times New Roman" w:hAnsi="Times New Roman" w:cs="Times New Roman"/>
          <w:lang w:eastAsia="zh-CN"/>
        </w:rPr>
        <w:t>《GH/T 1159-2017 山楂》</w:t>
      </w:r>
      <w:r>
        <w:rPr>
          <w:rFonts w:hint="eastAsia" w:ascii="Times New Roman" w:hAnsi="Times New Roman" w:cs="Times New Roman"/>
          <w:sz w:val="32"/>
          <w:szCs w:val="32"/>
          <w:lang w:eastAsia="zh-CN"/>
        </w:rPr>
        <w:t>《DB45/T 1634-2017大果山楂生产技术规程》</w:t>
      </w:r>
      <w:r>
        <w:rPr>
          <w:rFonts w:hint="default" w:ascii="Times New Roman" w:hAnsi="Times New Roman" w:eastAsia="仿宋_GB2312" w:cs="Times New Roman"/>
          <w:sz w:val="32"/>
          <w:szCs w:val="32"/>
        </w:rPr>
        <w:t>中对大果山楂果实采收的成熟度等方面有相关规定，结合企业实际生产经验，规定</w:t>
      </w:r>
      <w:r>
        <w:rPr>
          <w:rFonts w:hint="eastAsia" w:ascii="Times New Roman" w:hAnsi="Times New Roman" w:cs="Times New Roman"/>
          <w:sz w:val="32"/>
          <w:szCs w:val="32"/>
          <w:lang w:val="en-US" w:eastAsia="zh-CN"/>
        </w:rPr>
        <w:t>需选取</w:t>
      </w:r>
      <w:r>
        <w:rPr>
          <w:rFonts w:hint="eastAsia"/>
        </w:rPr>
        <w:t>新鲜、外观良好、风味正常、无病虫害及腐烂，且成熟度达</w:t>
      </w:r>
      <w:r>
        <w:rPr>
          <w:rFonts w:hint="default" w:ascii="Times New Roman" w:hAnsi="Times New Roman" w:cs="Times New Roman"/>
        </w:rPr>
        <w:t>8</w:t>
      </w:r>
      <w:r>
        <w:rPr>
          <w:rFonts w:hint="eastAsia"/>
        </w:rPr>
        <w:t>成以上的果实</w:t>
      </w:r>
      <w:r>
        <w:rPr>
          <w:rFonts w:hint="default" w:ascii="Times New Roman" w:hAnsi="Times New Roman" w:eastAsia="仿宋_GB2312" w:cs="Times New Roman"/>
          <w:sz w:val="32"/>
          <w:szCs w:val="32"/>
        </w:rPr>
        <w:t>，确保原料</w:t>
      </w:r>
      <w:r>
        <w:rPr>
          <w:rFonts w:hint="eastAsia" w:ascii="Times New Roman" w:hAnsi="Times New Roman" w:cs="Times New Roman"/>
          <w:sz w:val="32"/>
          <w:szCs w:val="32"/>
          <w:lang w:val="en-US" w:eastAsia="zh-CN"/>
        </w:rPr>
        <w:t>品质</w:t>
      </w:r>
      <w:r>
        <w:rPr>
          <w:rFonts w:hint="default" w:ascii="Times New Roman" w:hAnsi="Times New Roman" w:eastAsia="仿宋_GB2312" w:cs="Times New Roman"/>
          <w:sz w:val="32"/>
          <w:szCs w:val="32"/>
        </w:rPr>
        <w:t>统一。</w:t>
      </w:r>
    </w:p>
    <w:p w14:paraId="54D25919">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）生产环境</w:t>
      </w:r>
    </w:p>
    <w:p w14:paraId="2ADAA2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为使原料筛选、加工流程的标准化，防止</w:t>
      </w:r>
      <w:r>
        <w:rPr>
          <w:rFonts w:hint="eastAsia" w:ascii="Times New Roman" w:hAnsi="Times New Roman" w:cs="Times New Roman"/>
          <w:sz w:val="32"/>
          <w:szCs w:val="32"/>
          <w:lang w:val="en-US" w:eastAsia="zh-CN"/>
        </w:rPr>
        <w:t>环境因素</w:t>
      </w:r>
      <w:r>
        <w:rPr>
          <w:rFonts w:hint="default" w:ascii="Times New Roman" w:hAnsi="Times New Roman" w:eastAsia="仿宋_GB2312" w:cs="Times New Roman"/>
          <w:sz w:val="32"/>
          <w:szCs w:val="32"/>
          <w:lang w:val="en-US" w:eastAsia="zh-CN"/>
        </w:rPr>
        <w:t>影响产品</w:t>
      </w:r>
      <w:r>
        <w:rPr>
          <w:rFonts w:hint="eastAsia" w:ascii="Times New Roman" w:hAnsi="Times New Roman" w:cs="Times New Roman"/>
          <w:sz w:val="32"/>
          <w:szCs w:val="32"/>
          <w:lang w:val="en-US" w:eastAsia="zh-CN"/>
        </w:rPr>
        <w:t>品质</w:t>
      </w:r>
      <w:r>
        <w:rPr>
          <w:rFonts w:hint="default" w:ascii="Times New Roman" w:hAnsi="Times New Roman" w:eastAsia="仿宋_GB2312" w:cs="Times New Roman"/>
          <w:sz w:val="32"/>
          <w:szCs w:val="32"/>
          <w:lang w:val="en-US" w:eastAsia="zh-CN"/>
        </w:rPr>
        <w:t>，规定</w:t>
      </w:r>
      <w:r>
        <w:rPr>
          <w:rFonts w:hint="eastAsia" w:ascii="Times New Roman" w:hAnsi="Times New Roman"/>
          <w:kern w:val="0"/>
        </w:rPr>
        <w:t>生产环境应符合GB 14881的规定</w:t>
      </w:r>
      <w:r>
        <w:rPr>
          <w:rFonts w:hint="default" w:ascii="Times New Roman" w:hAnsi="Times New Roman" w:eastAsia="仿宋_GB2312" w:cs="Times New Roman"/>
          <w:sz w:val="32"/>
          <w:szCs w:val="32"/>
          <w:lang w:val="en-US" w:eastAsia="zh-CN"/>
        </w:rPr>
        <w:t>。</w:t>
      </w:r>
    </w:p>
    <w:p w14:paraId="7AECBB85">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）加工过程</w:t>
      </w:r>
    </w:p>
    <w:p w14:paraId="6E25828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参考相关水果</w:t>
      </w:r>
      <w:r>
        <w:rPr>
          <w:rFonts w:hint="eastAsia" w:ascii="Times New Roman" w:hAnsi="Times New Roman" w:cs="Times New Roman"/>
          <w:sz w:val="32"/>
          <w:szCs w:val="32"/>
          <w:lang w:val="en-US" w:eastAsia="zh-CN"/>
        </w:rPr>
        <w:t>原浆</w:t>
      </w:r>
      <w:r>
        <w:rPr>
          <w:rFonts w:hint="default" w:ascii="Times New Roman" w:hAnsi="Times New Roman" w:eastAsia="仿宋_GB2312" w:cs="Times New Roman"/>
          <w:sz w:val="32"/>
          <w:szCs w:val="32"/>
        </w:rPr>
        <w:t>加工标准及行业普遍做法，</w:t>
      </w:r>
      <w:r>
        <w:rPr>
          <w:rFonts w:hint="eastAsia" w:ascii="Times New Roman" w:hAnsi="Times New Roman" w:cs="Times New Roman"/>
          <w:sz w:val="32"/>
          <w:szCs w:val="32"/>
          <w:lang w:val="en-US" w:eastAsia="zh-CN"/>
        </w:rPr>
        <w:t>同时考虑到</w:t>
      </w:r>
      <w:r>
        <w:rPr>
          <w:rFonts w:hint="default" w:ascii="Times New Roman" w:hAnsi="Times New Roman" w:eastAsia="仿宋_GB2312" w:cs="Times New Roman"/>
          <w:sz w:val="32"/>
          <w:szCs w:val="32"/>
        </w:rPr>
        <w:t>最大程度保留大果山楂的营养成分和风味物质</w:t>
      </w:r>
      <w:r>
        <w:rPr>
          <w:rFonts w:hint="eastAsia" w:ascii="Times New Roman" w:hAnsi="Times New Roman" w:cs="Times New Roman"/>
          <w:sz w:val="32"/>
          <w:szCs w:val="32"/>
          <w:lang w:val="en-US" w:eastAsia="zh-CN"/>
        </w:rPr>
        <w:t>的需求</w:t>
      </w:r>
      <w:r>
        <w:rPr>
          <w:rFonts w:hint="default" w:ascii="Times New Roman" w:hAnsi="Times New Roman" w:eastAsia="仿宋_GB2312" w:cs="Times New Roman"/>
          <w:sz w:val="32"/>
          <w:szCs w:val="32"/>
        </w:rPr>
        <w:t>，</w:t>
      </w:r>
      <w:r>
        <w:rPr>
          <w:rFonts w:hint="eastAsia" w:ascii="Times New Roman" w:hAnsi="Times New Roman" w:cs="Times New Roman"/>
          <w:sz w:val="32"/>
          <w:szCs w:val="32"/>
          <w:lang w:val="en-US" w:eastAsia="zh-CN"/>
        </w:rPr>
        <w:t>规定工艺为:选果→清洗→烫漂（或不烫漂）→冷却→去柄核→打浆过滤→磨浆→煮制→调味（或不调味）→灌装</w:t>
      </w:r>
      <w:r>
        <w:rPr>
          <w:rFonts w:hint="default" w:ascii="Times New Roman" w:hAnsi="Times New Roman" w:eastAsia="仿宋_GB2312" w:cs="Times New Roman"/>
          <w:sz w:val="32"/>
          <w:szCs w:val="32"/>
        </w:rPr>
        <w:t>。</w:t>
      </w:r>
    </w:p>
    <w:p w14:paraId="4CB38362">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）感官指标</w:t>
      </w:r>
    </w:p>
    <w:p w14:paraId="70757F1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大果山楂本身含有丰富的天然色素，在正常加工过程中，其</w:t>
      </w:r>
      <w:r>
        <w:rPr>
          <w:rFonts w:hint="eastAsia" w:ascii="Times New Roman" w:hAnsi="Times New Roman" w:cs="Times New Roman"/>
          <w:sz w:val="32"/>
          <w:szCs w:val="32"/>
          <w:lang w:eastAsia="zh-CN"/>
        </w:rPr>
        <w:t>浆</w:t>
      </w:r>
      <w:r>
        <w:rPr>
          <w:rFonts w:hint="default" w:ascii="Times New Roman" w:hAnsi="Times New Roman" w:eastAsia="仿宋_GB2312" w:cs="Times New Roman"/>
          <w:sz w:val="32"/>
          <w:szCs w:val="32"/>
        </w:rPr>
        <w:t>液应呈现出特定的色泽范围。通过对不同批次大果山楂</w:t>
      </w:r>
      <w:r>
        <w:rPr>
          <w:rFonts w:hint="eastAsia" w:ascii="Times New Roman" w:hAnsi="Times New Roman" w:cs="Times New Roman"/>
          <w:sz w:val="32"/>
          <w:szCs w:val="32"/>
          <w:lang w:eastAsia="zh-CN"/>
        </w:rPr>
        <w:t>原浆</w:t>
      </w:r>
      <w:r>
        <w:rPr>
          <w:rFonts w:hint="default" w:ascii="Times New Roman" w:hAnsi="Times New Roman" w:eastAsia="仿宋_GB2312" w:cs="Times New Roman"/>
          <w:sz w:val="32"/>
          <w:szCs w:val="32"/>
        </w:rPr>
        <w:t>的观察以及参考同类果</w:t>
      </w:r>
      <w:r>
        <w:rPr>
          <w:rFonts w:hint="eastAsia" w:ascii="Times New Roman" w:hAnsi="Times New Roman" w:cs="Times New Roman"/>
          <w:sz w:val="32"/>
          <w:szCs w:val="32"/>
          <w:lang w:eastAsia="zh-CN"/>
        </w:rPr>
        <w:t>浆</w:t>
      </w:r>
      <w:r>
        <w:rPr>
          <w:rFonts w:hint="default" w:ascii="Times New Roman" w:hAnsi="Times New Roman" w:eastAsia="仿宋_GB2312" w:cs="Times New Roman"/>
          <w:sz w:val="32"/>
          <w:szCs w:val="32"/>
        </w:rPr>
        <w:t>产品的色泽标准，</w:t>
      </w:r>
      <w:r>
        <w:rPr>
          <w:rFonts w:hint="eastAsia" w:ascii="Times New Roman" w:hAnsi="Times New Roman" w:cs="Times New Roman"/>
          <w:sz w:val="32"/>
          <w:szCs w:val="32"/>
          <w:lang w:val="en-US" w:eastAsia="zh-CN"/>
        </w:rPr>
        <w:t>规定大果山楂原浆色泽为呈均匀一致的黄褐色、淡红色或红褐色，浆体组织形态呈胶状，泥酱均匀无果块，浆体徐徐流散时无汁液析出</w:t>
      </w:r>
      <w:r>
        <w:rPr>
          <w:rFonts w:hint="default" w:ascii="Times New Roman" w:hAnsi="Times New Roman" w:eastAsia="仿宋_GB2312" w:cs="Times New Roman"/>
          <w:sz w:val="32"/>
          <w:szCs w:val="32"/>
        </w:rPr>
        <w:t>。</w:t>
      </w:r>
    </w:p>
    <w:p w14:paraId="04439AC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大果山楂含有多种风味物质，赋予其独特的酸甜滋味和香气。在加工过程中，</w:t>
      </w:r>
      <w:r>
        <w:rPr>
          <w:rFonts w:hint="eastAsia" w:ascii="Times New Roman" w:hAnsi="Times New Roman" w:cs="Times New Roman"/>
          <w:sz w:val="32"/>
          <w:szCs w:val="32"/>
          <w:lang w:val="en-US" w:eastAsia="zh-CN"/>
        </w:rPr>
        <w:t>价格加工工艺最大程度</w:t>
      </w:r>
      <w:r>
        <w:rPr>
          <w:rFonts w:hint="default" w:ascii="Times New Roman" w:hAnsi="Times New Roman" w:eastAsia="仿宋_GB2312" w:cs="Times New Roman"/>
          <w:sz w:val="32"/>
          <w:szCs w:val="32"/>
        </w:rPr>
        <w:t>保留</w:t>
      </w:r>
      <w:r>
        <w:rPr>
          <w:rFonts w:hint="eastAsia" w:ascii="Times New Roman" w:hAnsi="Times New Roman" w:cs="Times New Roman"/>
          <w:sz w:val="32"/>
          <w:szCs w:val="32"/>
          <w:lang w:eastAsia="zh-CN"/>
        </w:rPr>
        <w:t>了</w:t>
      </w:r>
      <w:r>
        <w:rPr>
          <w:rFonts w:hint="default" w:ascii="Times New Roman" w:hAnsi="Times New Roman" w:eastAsia="仿宋_GB2312" w:cs="Times New Roman"/>
          <w:sz w:val="32"/>
          <w:szCs w:val="32"/>
        </w:rPr>
        <w:t>这些天然风味</w:t>
      </w:r>
      <w:r>
        <w:rPr>
          <w:rFonts w:hint="eastAsia" w:ascii="Times New Roman" w:hAnsi="Times New Roman" w:cs="Times New Roman"/>
          <w:sz w:val="32"/>
          <w:szCs w:val="32"/>
          <w:lang w:eastAsia="zh-CN"/>
        </w:rPr>
        <w:t>，</w:t>
      </w:r>
      <w:r>
        <w:rPr>
          <w:rFonts w:hint="eastAsia" w:ascii="Times New Roman" w:hAnsi="Times New Roman" w:cs="Times New Roman"/>
          <w:sz w:val="32"/>
          <w:szCs w:val="32"/>
          <w:lang w:val="en-US" w:eastAsia="zh-CN"/>
        </w:rPr>
        <w:t>通过品尝</w:t>
      </w:r>
      <w:r>
        <w:rPr>
          <w:rFonts w:hint="default" w:ascii="Times New Roman" w:hAnsi="Times New Roman" w:eastAsia="仿宋_GB2312" w:cs="Times New Roman"/>
          <w:sz w:val="32"/>
          <w:szCs w:val="32"/>
        </w:rPr>
        <w:t>和嗅闻，结合消费者对该产品风味的普遍认知，</w:t>
      </w:r>
      <w:r>
        <w:rPr>
          <w:rFonts w:hint="eastAsia" w:ascii="Times New Roman" w:hAnsi="Times New Roman" w:cs="Times New Roman"/>
          <w:sz w:val="32"/>
          <w:szCs w:val="32"/>
          <w:lang w:val="en-US" w:eastAsia="zh-CN"/>
        </w:rPr>
        <w:t>规定大果山楂原浆滋味与气味应具有大果山楂原浆应有的风味，甜酸适口，有原果风昧，无明显颗粒感，无异味</w:t>
      </w:r>
      <w:r>
        <w:rPr>
          <w:rFonts w:hint="default" w:ascii="Times New Roman" w:hAnsi="Times New Roman" w:eastAsia="仿宋_GB2312" w:cs="Times New Roman"/>
          <w:sz w:val="32"/>
          <w:szCs w:val="32"/>
        </w:rPr>
        <w:t>。</w:t>
      </w:r>
    </w:p>
    <w:p w14:paraId="65DD158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通过对生产工艺的控制以及</w:t>
      </w:r>
      <w:r>
        <w:rPr>
          <w:rFonts w:hint="default" w:ascii="Times New Roman" w:hAnsi="Times New Roman" w:eastAsia="仿宋_GB2312" w:cs="Times New Roman"/>
          <w:sz w:val="32"/>
          <w:szCs w:val="32"/>
        </w:rPr>
        <w:t>对产品外观状态的观察和分析，</w:t>
      </w:r>
      <w:r>
        <w:rPr>
          <w:rFonts w:hint="eastAsia" w:ascii="Times New Roman" w:hAnsi="Times New Roman" w:cs="Times New Roman"/>
          <w:sz w:val="32"/>
          <w:szCs w:val="32"/>
          <w:lang w:val="en-US" w:eastAsia="zh-CN"/>
        </w:rPr>
        <w:t>规定大果山楂原浆应无正常视力可见外来杂质。</w:t>
      </w:r>
    </w:p>
    <w:p w14:paraId="091770C9">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（五）理化指标</w:t>
      </w:r>
    </w:p>
    <w:p w14:paraId="15B9FD2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1.可溶性固形物（20℃时折光法计）</w:t>
      </w:r>
    </w:p>
    <w:p w14:paraId="3B48E54C">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表</w:t>
      </w:r>
      <w:r>
        <w:rPr>
          <w:rFonts w:hint="default" w:ascii="Times New Roman" w:hAnsi="Times New Roman" w:eastAsia="仿宋_GB2312" w:cs="Times New Roman"/>
          <w:sz w:val="28"/>
          <w:szCs w:val="28"/>
          <w:lang w:val="en-US" w:eastAsia="zh-CN"/>
        </w:rPr>
        <w:t>2</w:t>
      </w:r>
      <w:r>
        <w:rPr>
          <w:rFonts w:hint="default" w:ascii="Times New Roman" w:hAnsi="Times New Roman" w:eastAsia="仿宋_GB2312" w:cs="Times New Roman"/>
          <w:sz w:val="28"/>
          <w:szCs w:val="28"/>
        </w:rPr>
        <w:t xml:space="preserve">  不同批次</w:t>
      </w:r>
      <w:r>
        <w:rPr>
          <w:rFonts w:hint="eastAsia" w:ascii="Times New Roman" w:hAnsi="Times New Roman" w:cs="Times New Roman"/>
          <w:sz w:val="28"/>
          <w:szCs w:val="28"/>
          <w:lang w:val="en-US" w:eastAsia="zh-CN"/>
        </w:rPr>
        <w:t>大果山楂原浆可溶性固形物（20℃）含量</w:t>
      </w:r>
    </w:p>
    <w:tbl>
      <w:tblPr>
        <w:tblStyle w:val="5"/>
        <w:tblW w:w="7390"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28"/>
        <w:gridCol w:w="4962"/>
      </w:tblGrid>
      <w:tr w14:paraId="3D282ED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28" w:type="dxa"/>
            <w:tcBorders>
              <w:top w:val="single" w:color="auto" w:sz="4" w:space="0"/>
            </w:tcBorders>
            <w:vAlign w:val="center"/>
          </w:tcPr>
          <w:p w14:paraId="618AB99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编号</w:t>
            </w:r>
          </w:p>
        </w:tc>
        <w:tc>
          <w:tcPr>
            <w:tcW w:w="4962" w:type="dxa"/>
            <w:tcBorders>
              <w:top w:val="single" w:color="auto" w:sz="4" w:space="0"/>
            </w:tcBorders>
            <w:vAlign w:val="center"/>
          </w:tcPr>
          <w:p w14:paraId="7AD845D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cs="Times New Roman"/>
                <w:sz w:val="28"/>
                <w:szCs w:val="28"/>
                <w:lang w:val="en-US" w:eastAsia="zh-CN"/>
              </w:rPr>
              <w:t>可溶性固形物（20℃）</w:t>
            </w:r>
            <w:r>
              <w:rPr>
                <w:rFonts w:hint="eastAsia" w:ascii="Times New Roman" w:hAnsi="Times New Roman" w:cs="Times New Roman"/>
                <w:sz w:val="28"/>
                <w:szCs w:val="28"/>
                <w:lang w:val="en-US" w:eastAsia="zh-CN"/>
              </w:rPr>
              <w:t>%</w:t>
            </w:r>
          </w:p>
        </w:tc>
      </w:tr>
      <w:tr w14:paraId="3C85412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4756089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IP-1</w:t>
            </w:r>
          </w:p>
        </w:tc>
        <w:tc>
          <w:tcPr>
            <w:tcW w:w="4962" w:type="dxa"/>
            <w:vAlign w:val="center"/>
          </w:tcPr>
          <w:p w14:paraId="0198A8D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16.0</w:t>
            </w:r>
          </w:p>
        </w:tc>
      </w:tr>
      <w:tr w14:paraId="0FC1F88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28" w:type="dxa"/>
            <w:tcBorders>
              <w:bottom w:val="single" w:color="auto" w:sz="4" w:space="0"/>
            </w:tcBorders>
            <w:vAlign w:val="center"/>
          </w:tcPr>
          <w:p w14:paraId="7DD06A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IP-2</w:t>
            </w:r>
          </w:p>
        </w:tc>
        <w:tc>
          <w:tcPr>
            <w:tcW w:w="4962" w:type="dxa"/>
            <w:tcBorders>
              <w:bottom w:val="single" w:color="auto" w:sz="4" w:space="0"/>
            </w:tcBorders>
            <w:vAlign w:val="center"/>
          </w:tcPr>
          <w:p w14:paraId="79EA7F8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10.8</w:t>
            </w:r>
          </w:p>
        </w:tc>
      </w:tr>
      <w:tr w14:paraId="0A92D5D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top w:val="single" w:color="auto" w:sz="4" w:space="0"/>
            </w:tcBorders>
            <w:vAlign w:val="center"/>
          </w:tcPr>
          <w:p w14:paraId="1B31F0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IP-3</w:t>
            </w:r>
          </w:p>
        </w:tc>
        <w:tc>
          <w:tcPr>
            <w:tcW w:w="4962" w:type="dxa"/>
            <w:tcBorders>
              <w:top w:val="single" w:color="auto" w:sz="4" w:space="0"/>
            </w:tcBorders>
            <w:vAlign w:val="center"/>
          </w:tcPr>
          <w:p w14:paraId="51BBD0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16.4</w:t>
            </w:r>
          </w:p>
        </w:tc>
      </w:tr>
      <w:tr w14:paraId="77920CC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1DECC8E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IP-4</w:t>
            </w:r>
          </w:p>
        </w:tc>
        <w:tc>
          <w:tcPr>
            <w:tcW w:w="4962" w:type="dxa"/>
            <w:vAlign w:val="center"/>
          </w:tcPr>
          <w:p w14:paraId="77BC875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12.3</w:t>
            </w:r>
          </w:p>
        </w:tc>
      </w:tr>
      <w:tr w14:paraId="5DD0B60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2648295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IP-5</w:t>
            </w:r>
          </w:p>
        </w:tc>
        <w:tc>
          <w:tcPr>
            <w:tcW w:w="4962" w:type="dxa"/>
            <w:vAlign w:val="center"/>
          </w:tcPr>
          <w:p w14:paraId="68FD8AC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14.4</w:t>
            </w:r>
          </w:p>
        </w:tc>
      </w:tr>
      <w:tr w14:paraId="5D3DE23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5825530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IP-6</w:t>
            </w:r>
          </w:p>
        </w:tc>
        <w:tc>
          <w:tcPr>
            <w:tcW w:w="4962" w:type="dxa"/>
            <w:vAlign w:val="center"/>
          </w:tcPr>
          <w:p w14:paraId="0F66130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11.8</w:t>
            </w:r>
          </w:p>
        </w:tc>
      </w:tr>
      <w:tr w14:paraId="5B3444E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2EBC15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IP-7</w:t>
            </w:r>
          </w:p>
        </w:tc>
        <w:tc>
          <w:tcPr>
            <w:tcW w:w="4962" w:type="dxa"/>
            <w:vAlign w:val="center"/>
          </w:tcPr>
          <w:p w14:paraId="2A53D0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16.2</w:t>
            </w:r>
          </w:p>
        </w:tc>
      </w:tr>
      <w:tr w14:paraId="12EF699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4120CE3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IP-8</w:t>
            </w:r>
          </w:p>
        </w:tc>
        <w:tc>
          <w:tcPr>
            <w:tcW w:w="4962" w:type="dxa"/>
            <w:vAlign w:val="center"/>
          </w:tcPr>
          <w:p w14:paraId="233A7B1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10.2</w:t>
            </w:r>
          </w:p>
        </w:tc>
      </w:tr>
      <w:tr w14:paraId="0B25B46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5ED40F3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IP-9</w:t>
            </w:r>
          </w:p>
        </w:tc>
        <w:tc>
          <w:tcPr>
            <w:tcW w:w="4962" w:type="dxa"/>
            <w:vAlign w:val="center"/>
          </w:tcPr>
          <w:p w14:paraId="490D2DA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11.6</w:t>
            </w:r>
          </w:p>
        </w:tc>
      </w:tr>
      <w:tr w14:paraId="1FF151C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vAlign w:val="center"/>
          </w:tcPr>
          <w:p w14:paraId="14291BD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IP-10</w:t>
            </w:r>
          </w:p>
        </w:tc>
        <w:tc>
          <w:tcPr>
            <w:tcW w:w="4962" w:type="dxa"/>
            <w:tcBorders>
              <w:bottom w:val="single" w:color="auto" w:sz="4" w:space="0"/>
            </w:tcBorders>
            <w:vAlign w:val="center"/>
          </w:tcPr>
          <w:p w14:paraId="1625C5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9.8</w:t>
            </w:r>
          </w:p>
        </w:tc>
      </w:tr>
    </w:tbl>
    <w:p w14:paraId="67D2E98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可溶性固形物含量反映了大果山楂原浆中糖类、酸类、矿物质等可溶性物质的总量，是衡量产品品质的重要指标之一。通过对10个批次大果山楂原浆样品的检测分析，结合大果山楂产品可溶性固形物含量检测范围，确定该指标的下限值为≥8.0%，以保证产品具有一定的浓度和口感。</w:t>
      </w:r>
    </w:p>
    <w:p w14:paraId="7009FC2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2.总糖（以葡萄糖计）</w:t>
      </w:r>
    </w:p>
    <w:p w14:paraId="3FA5441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表</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 xml:space="preserve">  不同批次</w:t>
      </w:r>
      <w:r>
        <w:rPr>
          <w:rFonts w:hint="default" w:ascii="Times New Roman" w:hAnsi="Times New Roman" w:cs="Times New Roman"/>
          <w:sz w:val="32"/>
          <w:szCs w:val="32"/>
          <w:lang w:val="en-US" w:eastAsia="zh-CN"/>
        </w:rPr>
        <w:t>大果山楂</w:t>
      </w:r>
      <w:r>
        <w:rPr>
          <w:rFonts w:hint="eastAsia" w:ascii="Times New Roman" w:hAnsi="Times New Roman" w:cs="Times New Roman"/>
          <w:sz w:val="32"/>
          <w:szCs w:val="32"/>
          <w:lang w:val="en-US" w:eastAsia="zh-CN"/>
        </w:rPr>
        <w:t>原浆</w:t>
      </w:r>
      <w:r>
        <w:rPr>
          <w:rFonts w:hint="default" w:ascii="Times New Roman" w:hAnsi="Times New Roman" w:cs="Times New Roman"/>
          <w:sz w:val="32"/>
          <w:szCs w:val="32"/>
          <w:lang w:val="en-US" w:eastAsia="zh-CN"/>
        </w:rPr>
        <w:t>总糖</w:t>
      </w:r>
      <w:r>
        <w:rPr>
          <w:rFonts w:hint="eastAsia" w:ascii="Times New Roman" w:hAnsi="Times New Roman" w:cs="Times New Roman"/>
          <w:sz w:val="32"/>
          <w:szCs w:val="32"/>
          <w:lang w:val="en-US" w:eastAsia="zh-CN"/>
        </w:rPr>
        <w:t>含量</w:t>
      </w:r>
    </w:p>
    <w:tbl>
      <w:tblPr>
        <w:tblStyle w:val="5"/>
        <w:tblW w:w="7390"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28"/>
        <w:gridCol w:w="4962"/>
      </w:tblGrid>
      <w:tr w14:paraId="49DC21A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28" w:type="dxa"/>
            <w:tcBorders>
              <w:top w:val="single" w:color="auto" w:sz="4" w:space="0"/>
            </w:tcBorders>
            <w:vAlign w:val="center"/>
          </w:tcPr>
          <w:p w14:paraId="61FA410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编号</w:t>
            </w:r>
          </w:p>
        </w:tc>
        <w:tc>
          <w:tcPr>
            <w:tcW w:w="4962" w:type="dxa"/>
            <w:tcBorders>
              <w:top w:val="single" w:color="auto" w:sz="4" w:space="0"/>
            </w:tcBorders>
            <w:vAlign w:val="center"/>
          </w:tcPr>
          <w:p w14:paraId="5E3DC78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总糖</w:t>
            </w:r>
            <w:r>
              <w:rPr>
                <w:rFonts w:hint="eastAsia" w:ascii="Times New Roman" w:hAnsi="Times New Roman" w:cs="Times New Roman"/>
                <w:sz w:val="32"/>
                <w:szCs w:val="32"/>
                <w:lang w:val="en-US" w:eastAsia="zh-CN"/>
              </w:rPr>
              <w:t>%</w:t>
            </w:r>
          </w:p>
        </w:tc>
      </w:tr>
      <w:tr w14:paraId="6D435AE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355F8CF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w:t>
            </w:r>
          </w:p>
        </w:tc>
        <w:tc>
          <w:tcPr>
            <w:tcW w:w="4962" w:type="dxa"/>
            <w:vAlign w:val="center"/>
          </w:tcPr>
          <w:p w14:paraId="68DE78C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11.9</w:t>
            </w:r>
          </w:p>
        </w:tc>
      </w:tr>
      <w:tr w14:paraId="07FCF1D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428" w:type="dxa"/>
            <w:tcBorders>
              <w:bottom w:val="single" w:color="auto" w:sz="4" w:space="0"/>
            </w:tcBorders>
            <w:vAlign w:val="center"/>
          </w:tcPr>
          <w:p w14:paraId="6DD5130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IP-2</w:t>
            </w:r>
          </w:p>
        </w:tc>
        <w:tc>
          <w:tcPr>
            <w:tcW w:w="4962" w:type="dxa"/>
            <w:tcBorders>
              <w:bottom w:val="single" w:color="auto" w:sz="4" w:space="0"/>
            </w:tcBorders>
            <w:vAlign w:val="center"/>
          </w:tcPr>
          <w:p w14:paraId="392B415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9.0</w:t>
            </w:r>
          </w:p>
        </w:tc>
      </w:tr>
      <w:tr w14:paraId="2C31F34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top w:val="single" w:color="auto" w:sz="4" w:space="0"/>
            </w:tcBorders>
            <w:vAlign w:val="center"/>
          </w:tcPr>
          <w:p w14:paraId="71A0F90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IP-3</w:t>
            </w:r>
          </w:p>
        </w:tc>
        <w:tc>
          <w:tcPr>
            <w:tcW w:w="4962" w:type="dxa"/>
            <w:tcBorders>
              <w:top w:val="single" w:color="auto" w:sz="4" w:space="0"/>
            </w:tcBorders>
            <w:vAlign w:val="center"/>
          </w:tcPr>
          <w:p w14:paraId="4664269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10.8</w:t>
            </w:r>
          </w:p>
        </w:tc>
      </w:tr>
      <w:tr w14:paraId="5FFD212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441EA6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IP-4</w:t>
            </w:r>
          </w:p>
        </w:tc>
        <w:tc>
          <w:tcPr>
            <w:tcW w:w="4962" w:type="dxa"/>
            <w:vAlign w:val="center"/>
          </w:tcPr>
          <w:p w14:paraId="1444FD4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8.8</w:t>
            </w:r>
          </w:p>
        </w:tc>
      </w:tr>
      <w:tr w14:paraId="120738A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0CA598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IP-5</w:t>
            </w:r>
          </w:p>
        </w:tc>
        <w:tc>
          <w:tcPr>
            <w:tcW w:w="4962" w:type="dxa"/>
            <w:vAlign w:val="center"/>
          </w:tcPr>
          <w:p w14:paraId="54C378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10.2</w:t>
            </w:r>
          </w:p>
        </w:tc>
      </w:tr>
      <w:tr w14:paraId="1C6CC6C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772169C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IP-6</w:t>
            </w:r>
          </w:p>
        </w:tc>
        <w:tc>
          <w:tcPr>
            <w:tcW w:w="4962" w:type="dxa"/>
            <w:vAlign w:val="center"/>
          </w:tcPr>
          <w:p w14:paraId="6AAEE79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11.6</w:t>
            </w:r>
          </w:p>
        </w:tc>
      </w:tr>
      <w:tr w14:paraId="05C1138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40F5BFE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IP-7</w:t>
            </w:r>
          </w:p>
        </w:tc>
        <w:tc>
          <w:tcPr>
            <w:tcW w:w="4962" w:type="dxa"/>
            <w:vAlign w:val="center"/>
          </w:tcPr>
          <w:p w14:paraId="748E403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9.2</w:t>
            </w:r>
          </w:p>
        </w:tc>
      </w:tr>
      <w:tr w14:paraId="27B39E9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7C175D9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IP-8</w:t>
            </w:r>
          </w:p>
        </w:tc>
        <w:tc>
          <w:tcPr>
            <w:tcW w:w="4962" w:type="dxa"/>
            <w:vAlign w:val="center"/>
          </w:tcPr>
          <w:p w14:paraId="7F45BCE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10.4</w:t>
            </w:r>
          </w:p>
        </w:tc>
      </w:tr>
      <w:tr w14:paraId="66E2C7D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3FF200B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IP-9</w:t>
            </w:r>
          </w:p>
        </w:tc>
        <w:tc>
          <w:tcPr>
            <w:tcW w:w="4962" w:type="dxa"/>
            <w:vAlign w:val="center"/>
          </w:tcPr>
          <w:p w14:paraId="60CE83D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8.4</w:t>
            </w:r>
          </w:p>
        </w:tc>
      </w:tr>
      <w:tr w14:paraId="433F03E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vAlign w:val="center"/>
          </w:tcPr>
          <w:p w14:paraId="0EEBDFC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IP-10</w:t>
            </w:r>
          </w:p>
        </w:tc>
        <w:tc>
          <w:tcPr>
            <w:tcW w:w="4962" w:type="dxa"/>
            <w:tcBorders>
              <w:bottom w:val="single" w:color="auto" w:sz="4" w:space="0"/>
            </w:tcBorders>
            <w:vAlign w:val="center"/>
          </w:tcPr>
          <w:p w14:paraId="6FF813E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9.6</w:t>
            </w:r>
          </w:p>
        </w:tc>
      </w:tr>
    </w:tbl>
    <w:p w14:paraId="1B44AA1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总糖量是影响产品甜度和口感的关键因素之一。大果山楂本身含有一定量的糖类物质，在加工过程中应保留一定的糖分以满足消费者对口感的需求。通过对样品的检测和市场调研，参考同类果</w:t>
      </w:r>
      <w:r>
        <w:rPr>
          <w:rFonts w:hint="eastAsia" w:ascii="Times New Roman" w:hAnsi="Times New Roman" w:cs="Times New Roman"/>
          <w:sz w:val="32"/>
          <w:szCs w:val="32"/>
          <w:lang w:val="en-US" w:eastAsia="zh-CN"/>
        </w:rPr>
        <w:t>浆</w:t>
      </w:r>
      <w:r>
        <w:rPr>
          <w:rFonts w:hint="default" w:ascii="Times New Roman" w:hAnsi="Times New Roman" w:eastAsia="仿宋_GB2312" w:cs="Times New Roman"/>
          <w:sz w:val="32"/>
          <w:szCs w:val="32"/>
          <w:lang w:val="en-US" w:eastAsia="zh-CN"/>
        </w:rPr>
        <w:t>产品的总糖量标准，确定≥</w:t>
      </w:r>
      <w:r>
        <w:rPr>
          <w:rFonts w:hint="eastAsia" w:ascii="Times New Roman" w:hAnsi="Times New Roman" w:cs="Times New Roman"/>
          <w:sz w:val="32"/>
          <w:szCs w:val="32"/>
          <w:lang w:val="en-US" w:eastAsia="zh-CN"/>
        </w:rPr>
        <w:t>7</w:t>
      </w:r>
      <w:r>
        <w:rPr>
          <w:rFonts w:hint="default" w:ascii="Times New Roman" w:hAnsi="Times New Roman" w:eastAsia="仿宋_GB2312" w:cs="Times New Roman"/>
          <w:sz w:val="32"/>
          <w:szCs w:val="32"/>
          <w:lang w:val="en-US" w:eastAsia="zh-CN"/>
        </w:rPr>
        <w:t>.0</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作为大果山楂</w:t>
      </w:r>
      <w:r>
        <w:rPr>
          <w:rFonts w:hint="eastAsia" w:ascii="Times New Roman" w:hAnsi="Times New Roman" w:cs="Times New Roman"/>
          <w:sz w:val="32"/>
          <w:szCs w:val="32"/>
          <w:lang w:val="en-US" w:eastAsia="zh-CN"/>
        </w:rPr>
        <w:t>原浆</w:t>
      </w:r>
      <w:r>
        <w:rPr>
          <w:rFonts w:hint="default" w:ascii="Times New Roman" w:hAnsi="Times New Roman" w:eastAsia="仿宋_GB2312" w:cs="Times New Roman"/>
          <w:sz w:val="32"/>
          <w:szCs w:val="32"/>
          <w:lang w:val="en-US" w:eastAsia="zh-CN"/>
        </w:rPr>
        <w:t>的总糖量指标下限，既能保证产品甜度适中，又能体现大果山楂的天然风味。</w:t>
      </w:r>
    </w:p>
    <w:p w14:paraId="1A69CA5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3.</w:t>
      </w:r>
      <w:r>
        <w:rPr>
          <w:rFonts w:hint="default" w:ascii="Times New Roman" w:hAnsi="Times New Roman" w:eastAsia="仿宋_GB2312" w:cs="Times New Roman"/>
          <w:sz w:val="32"/>
          <w:szCs w:val="32"/>
          <w:lang w:val="en-US" w:eastAsia="zh-CN"/>
        </w:rPr>
        <w:t>总酸（以苹果酸计）</w:t>
      </w:r>
    </w:p>
    <w:p w14:paraId="1E077C5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表</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 xml:space="preserve">  不同批次</w:t>
      </w:r>
      <w:r>
        <w:rPr>
          <w:rFonts w:hint="default" w:ascii="Times New Roman" w:hAnsi="Times New Roman" w:eastAsia="仿宋_GB2312" w:cs="Times New Roman"/>
          <w:sz w:val="32"/>
          <w:szCs w:val="32"/>
          <w:lang w:val="en-US" w:eastAsia="zh-CN"/>
        </w:rPr>
        <w:t>大果山楂</w:t>
      </w:r>
      <w:r>
        <w:rPr>
          <w:rFonts w:hint="eastAsia" w:ascii="Times New Roman" w:hAnsi="Times New Roman" w:cs="Times New Roman"/>
          <w:sz w:val="32"/>
          <w:szCs w:val="32"/>
          <w:lang w:val="en-US" w:eastAsia="zh-CN"/>
        </w:rPr>
        <w:t>原浆</w:t>
      </w:r>
      <w:r>
        <w:rPr>
          <w:rFonts w:hint="default" w:ascii="Times New Roman" w:hAnsi="Times New Roman" w:eastAsia="仿宋_GB2312" w:cs="Times New Roman"/>
          <w:sz w:val="32"/>
          <w:szCs w:val="32"/>
          <w:lang w:val="en-US" w:eastAsia="zh-CN"/>
        </w:rPr>
        <w:t>总酸</w:t>
      </w:r>
      <w:r>
        <w:rPr>
          <w:rFonts w:hint="eastAsia" w:ascii="Times New Roman" w:hAnsi="Times New Roman" w:cs="Times New Roman"/>
          <w:sz w:val="32"/>
          <w:szCs w:val="32"/>
          <w:lang w:val="en-US" w:eastAsia="zh-CN"/>
        </w:rPr>
        <w:t>含量</w:t>
      </w:r>
    </w:p>
    <w:tbl>
      <w:tblPr>
        <w:tblStyle w:val="5"/>
        <w:tblW w:w="7390"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28"/>
        <w:gridCol w:w="4962"/>
      </w:tblGrid>
      <w:tr w14:paraId="32377EB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28" w:type="dxa"/>
            <w:tcBorders>
              <w:top w:val="single" w:color="auto" w:sz="4" w:space="0"/>
            </w:tcBorders>
            <w:vAlign w:val="center"/>
          </w:tcPr>
          <w:p w14:paraId="25DC4A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编号</w:t>
            </w:r>
          </w:p>
        </w:tc>
        <w:tc>
          <w:tcPr>
            <w:tcW w:w="4962" w:type="dxa"/>
            <w:tcBorders>
              <w:top w:val="single" w:color="auto" w:sz="4" w:space="0"/>
            </w:tcBorders>
            <w:vAlign w:val="center"/>
          </w:tcPr>
          <w:p w14:paraId="7FFFA8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总酸</w:t>
            </w:r>
            <w:r>
              <w:rPr>
                <w:rFonts w:hint="eastAsia" w:ascii="Times New Roman" w:hAnsi="Times New Roman" w:cs="Times New Roman"/>
                <w:sz w:val="32"/>
                <w:szCs w:val="32"/>
                <w:lang w:val="en-US" w:eastAsia="zh-CN"/>
              </w:rPr>
              <w:t>g/kg</w:t>
            </w:r>
          </w:p>
        </w:tc>
      </w:tr>
      <w:tr w14:paraId="3953851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1D525B2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w:t>
            </w:r>
          </w:p>
        </w:tc>
        <w:tc>
          <w:tcPr>
            <w:tcW w:w="4962" w:type="dxa"/>
            <w:vAlign w:val="center"/>
          </w:tcPr>
          <w:p w14:paraId="03F3701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19.2</w:t>
            </w:r>
          </w:p>
        </w:tc>
      </w:tr>
      <w:tr w14:paraId="42058B1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vAlign w:val="center"/>
          </w:tcPr>
          <w:p w14:paraId="32D998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IP-2</w:t>
            </w:r>
          </w:p>
        </w:tc>
        <w:tc>
          <w:tcPr>
            <w:tcW w:w="4962" w:type="dxa"/>
            <w:tcBorders>
              <w:bottom w:val="single" w:color="auto" w:sz="4" w:space="0"/>
            </w:tcBorders>
            <w:vAlign w:val="center"/>
          </w:tcPr>
          <w:p w14:paraId="71893A7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24.7</w:t>
            </w:r>
          </w:p>
        </w:tc>
      </w:tr>
      <w:tr w14:paraId="55D8181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top w:val="single" w:color="auto" w:sz="4" w:space="0"/>
            </w:tcBorders>
            <w:vAlign w:val="center"/>
          </w:tcPr>
          <w:p w14:paraId="33A2BAD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IP-3</w:t>
            </w:r>
          </w:p>
        </w:tc>
        <w:tc>
          <w:tcPr>
            <w:tcW w:w="4962" w:type="dxa"/>
            <w:tcBorders>
              <w:top w:val="single" w:color="auto" w:sz="4" w:space="0"/>
            </w:tcBorders>
            <w:vAlign w:val="center"/>
          </w:tcPr>
          <w:p w14:paraId="3316C1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13.2</w:t>
            </w:r>
          </w:p>
        </w:tc>
      </w:tr>
      <w:tr w14:paraId="2581210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57441D8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IP-4</w:t>
            </w:r>
          </w:p>
        </w:tc>
        <w:tc>
          <w:tcPr>
            <w:tcW w:w="4962" w:type="dxa"/>
            <w:vAlign w:val="center"/>
          </w:tcPr>
          <w:p w14:paraId="46302E5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18.6</w:t>
            </w:r>
          </w:p>
        </w:tc>
      </w:tr>
      <w:tr w14:paraId="77ABD54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07138AB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IP-5</w:t>
            </w:r>
          </w:p>
        </w:tc>
        <w:tc>
          <w:tcPr>
            <w:tcW w:w="4962" w:type="dxa"/>
            <w:vAlign w:val="center"/>
          </w:tcPr>
          <w:p w14:paraId="37C49CE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15.8</w:t>
            </w:r>
          </w:p>
        </w:tc>
      </w:tr>
      <w:tr w14:paraId="79B77C4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47A939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IP-6</w:t>
            </w:r>
          </w:p>
        </w:tc>
        <w:tc>
          <w:tcPr>
            <w:tcW w:w="4962" w:type="dxa"/>
            <w:vAlign w:val="center"/>
          </w:tcPr>
          <w:p w14:paraId="74D43AE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14.2</w:t>
            </w:r>
          </w:p>
        </w:tc>
      </w:tr>
      <w:tr w14:paraId="0B480E9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61F25A1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IP-7</w:t>
            </w:r>
          </w:p>
        </w:tc>
        <w:tc>
          <w:tcPr>
            <w:tcW w:w="4962" w:type="dxa"/>
            <w:vAlign w:val="center"/>
          </w:tcPr>
          <w:p w14:paraId="31B994C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13.8</w:t>
            </w:r>
          </w:p>
        </w:tc>
      </w:tr>
      <w:tr w14:paraId="3505316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743CC76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IP-8</w:t>
            </w:r>
          </w:p>
        </w:tc>
        <w:tc>
          <w:tcPr>
            <w:tcW w:w="4962" w:type="dxa"/>
            <w:vAlign w:val="center"/>
          </w:tcPr>
          <w:p w14:paraId="6662E00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13.0</w:t>
            </w:r>
          </w:p>
        </w:tc>
      </w:tr>
      <w:tr w14:paraId="45B7396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3A54F5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IP-9</w:t>
            </w:r>
          </w:p>
        </w:tc>
        <w:tc>
          <w:tcPr>
            <w:tcW w:w="4962" w:type="dxa"/>
            <w:vAlign w:val="center"/>
          </w:tcPr>
          <w:p w14:paraId="162A0B6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22.9</w:t>
            </w:r>
          </w:p>
        </w:tc>
      </w:tr>
      <w:tr w14:paraId="4584BD3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vAlign w:val="center"/>
          </w:tcPr>
          <w:p w14:paraId="69FA335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IP-10</w:t>
            </w:r>
          </w:p>
        </w:tc>
        <w:tc>
          <w:tcPr>
            <w:tcW w:w="4962" w:type="dxa"/>
            <w:tcBorders>
              <w:bottom w:val="single" w:color="auto" w:sz="4" w:space="0"/>
            </w:tcBorders>
            <w:vAlign w:val="center"/>
          </w:tcPr>
          <w:p w14:paraId="22E848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20.6</w:t>
            </w:r>
          </w:p>
        </w:tc>
      </w:tr>
    </w:tbl>
    <w:p w14:paraId="7EC8EE9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总酸含量影响产品的口感和风味平衡，适当的酸度可以增强产品的清爽感，同时也具有一定的抑菌作用。大果山楂中含有多种有机酸，通过对样品的检测分析，结合消费者对大果山楂</w:t>
      </w:r>
      <w:r>
        <w:rPr>
          <w:rFonts w:hint="eastAsia" w:ascii="Times New Roman" w:hAnsi="Times New Roman" w:cs="Times New Roman"/>
          <w:sz w:val="32"/>
          <w:szCs w:val="32"/>
          <w:lang w:val="en-US" w:eastAsia="zh-CN"/>
        </w:rPr>
        <w:t>原浆</w:t>
      </w:r>
      <w:r>
        <w:rPr>
          <w:rFonts w:hint="default" w:ascii="Times New Roman" w:hAnsi="Times New Roman" w:eastAsia="仿宋_GB2312" w:cs="Times New Roman"/>
          <w:sz w:val="32"/>
          <w:szCs w:val="32"/>
          <w:lang w:val="en-US" w:eastAsia="zh-CN"/>
        </w:rPr>
        <w:t>口感的反馈以及同类果</w:t>
      </w:r>
      <w:r>
        <w:rPr>
          <w:rFonts w:hint="eastAsia" w:ascii="Times New Roman" w:hAnsi="Times New Roman" w:cs="Times New Roman"/>
          <w:sz w:val="32"/>
          <w:szCs w:val="32"/>
          <w:lang w:val="en-US" w:eastAsia="zh-CN"/>
        </w:rPr>
        <w:t>浆</w:t>
      </w:r>
      <w:r>
        <w:rPr>
          <w:rFonts w:hint="default" w:ascii="Times New Roman" w:hAnsi="Times New Roman" w:eastAsia="仿宋_GB2312" w:cs="Times New Roman"/>
          <w:sz w:val="32"/>
          <w:szCs w:val="32"/>
          <w:lang w:val="en-US" w:eastAsia="zh-CN"/>
        </w:rPr>
        <w:t>产品的总酸含量范围，确定总酸（以苹果酸计）</w:t>
      </w:r>
      <w:r>
        <w:rPr>
          <w:rFonts w:hint="default" w:ascii="Times New Roman" w:hAnsi="Times New Roman" w:cs="Times New Roman"/>
          <w:sz w:val="32"/>
          <w:szCs w:val="32"/>
          <w:lang w:val="en-US" w:eastAsia="zh-CN"/>
        </w:rPr>
        <w:t>含量</w:t>
      </w:r>
      <w:r>
        <w:rPr>
          <w:rFonts w:hint="default" w:ascii="Times New Roman" w:hAnsi="Times New Roman" w:eastAsia="宋体" w:cs="Times New Roman"/>
          <w:sz w:val="32"/>
          <w:szCs w:val="32"/>
          <w:lang w:val="en-US" w:eastAsia="zh-CN"/>
        </w:rPr>
        <w:t>≧</w:t>
      </w:r>
      <w:r>
        <w:rPr>
          <w:rFonts w:hint="eastAsia" w:ascii="Times New Roman" w:hAnsi="Times New Roman" w:eastAsia="宋体" w:cs="Times New Roman"/>
          <w:sz w:val="32"/>
          <w:szCs w:val="32"/>
          <w:lang w:val="en-US" w:eastAsia="zh-CN"/>
        </w:rPr>
        <w:t>12</w:t>
      </w:r>
      <w:r>
        <w:rPr>
          <w:rFonts w:hint="default" w:ascii="Times New Roman" w:hAnsi="Times New Roman" w:eastAsia="宋体" w:cs="Times New Roman"/>
          <w:sz w:val="32"/>
          <w:szCs w:val="32"/>
          <w:lang w:val="en-US" w:eastAsia="zh-CN"/>
        </w:rPr>
        <w:t>.0g/kg</w:t>
      </w:r>
      <w:r>
        <w:rPr>
          <w:rFonts w:hint="default" w:ascii="Times New Roman" w:hAnsi="Times New Roman" w:eastAsia="仿宋_GB2312" w:cs="Times New Roman"/>
          <w:sz w:val="32"/>
          <w:szCs w:val="32"/>
          <w:lang w:val="en-US" w:eastAsia="zh-CN"/>
        </w:rPr>
        <w:t>，以保证产品具有良好的口感和风味稳定性。</w:t>
      </w:r>
    </w:p>
    <w:p w14:paraId="4DA5EA4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4.抗坏血酸</w:t>
      </w:r>
    </w:p>
    <w:p w14:paraId="607A7EE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表</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 xml:space="preserve">  不同批次</w:t>
      </w:r>
      <w:r>
        <w:rPr>
          <w:rFonts w:hint="default" w:ascii="Times New Roman" w:hAnsi="Times New Roman" w:eastAsia="仿宋_GB2312" w:cs="Times New Roman"/>
          <w:sz w:val="32"/>
          <w:szCs w:val="32"/>
          <w:lang w:val="en-US" w:eastAsia="zh-CN"/>
        </w:rPr>
        <w:t>大果山楂</w:t>
      </w:r>
      <w:r>
        <w:rPr>
          <w:rFonts w:hint="eastAsia" w:ascii="Times New Roman" w:hAnsi="Times New Roman" w:cs="Times New Roman"/>
          <w:sz w:val="32"/>
          <w:szCs w:val="32"/>
          <w:lang w:val="en-US" w:eastAsia="zh-CN"/>
        </w:rPr>
        <w:t>原浆抗坏血酸含量</w:t>
      </w:r>
    </w:p>
    <w:tbl>
      <w:tblPr>
        <w:tblStyle w:val="5"/>
        <w:tblW w:w="7390"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28"/>
        <w:gridCol w:w="4962"/>
      </w:tblGrid>
      <w:tr w14:paraId="38B6A4F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28" w:type="dxa"/>
            <w:tcBorders>
              <w:top w:val="single" w:color="auto" w:sz="4" w:space="0"/>
            </w:tcBorders>
            <w:vAlign w:val="center"/>
          </w:tcPr>
          <w:p w14:paraId="1CF1C22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编号</w:t>
            </w:r>
          </w:p>
        </w:tc>
        <w:tc>
          <w:tcPr>
            <w:tcW w:w="4962" w:type="dxa"/>
            <w:tcBorders>
              <w:top w:val="single" w:color="auto" w:sz="4" w:space="0"/>
            </w:tcBorders>
            <w:vAlign w:val="center"/>
          </w:tcPr>
          <w:p w14:paraId="0EBDB22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抗坏血酸mg/100g</w:t>
            </w:r>
          </w:p>
        </w:tc>
      </w:tr>
      <w:tr w14:paraId="79137CD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78200A7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w:t>
            </w:r>
          </w:p>
        </w:tc>
        <w:tc>
          <w:tcPr>
            <w:tcW w:w="4962" w:type="dxa"/>
            <w:vAlign w:val="center"/>
          </w:tcPr>
          <w:p w14:paraId="6C803C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3.3</w:t>
            </w:r>
          </w:p>
        </w:tc>
      </w:tr>
      <w:tr w14:paraId="5D5FB36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vAlign w:val="center"/>
          </w:tcPr>
          <w:p w14:paraId="48658B5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IP-2</w:t>
            </w:r>
          </w:p>
        </w:tc>
        <w:tc>
          <w:tcPr>
            <w:tcW w:w="4962" w:type="dxa"/>
            <w:tcBorders>
              <w:bottom w:val="single" w:color="auto" w:sz="4" w:space="0"/>
            </w:tcBorders>
            <w:vAlign w:val="center"/>
          </w:tcPr>
          <w:p w14:paraId="5EA19F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4.8</w:t>
            </w:r>
          </w:p>
        </w:tc>
      </w:tr>
      <w:tr w14:paraId="5D9DD3D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top w:val="single" w:color="auto" w:sz="4" w:space="0"/>
            </w:tcBorders>
            <w:vAlign w:val="center"/>
          </w:tcPr>
          <w:p w14:paraId="22F2B38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IP-3</w:t>
            </w:r>
          </w:p>
        </w:tc>
        <w:tc>
          <w:tcPr>
            <w:tcW w:w="4962" w:type="dxa"/>
            <w:tcBorders>
              <w:top w:val="single" w:color="auto" w:sz="4" w:space="0"/>
            </w:tcBorders>
            <w:vAlign w:val="center"/>
          </w:tcPr>
          <w:p w14:paraId="6151AA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6.9</w:t>
            </w:r>
          </w:p>
        </w:tc>
      </w:tr>
      <w:tr w14:paraId="0EC8549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210BCA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IP-4</w:t>
            </w:r>
          </w:p>
        </w:tc>
        <w:tc>
          <w:tcPr>
            <w:tcW w:w="4962" w:type="dxa"/>
            <w:vAlign w:val="center"/>
          </w:tcPr>
          <w:p w14:paraId="7A48ACE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3.6</w:t>
            </w:r>
          </w:p>
        </w:tc>
      </w:tr>
      <w:tr w14:paraId="5E9BE9D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240E338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IP-5</w:t>
            </w:r>
          </w:p>
        </w:tc>
        <w:tc>
          <w:tcPr>
            <w:tcW w:w="4962" w:type="dxa"/>
            <w:vAlign w:val="center"/>
          </w:tcPr>
          <w:p w14:paraId="253ACF0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4.0</w:t>
            </w:r>
          </w:p>
        </w:tc>
      </w:tr>
      <w:tr w14:paraId="544CF68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60A7344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IP-6</w:t>
            </w:r>
          </w:p>
        </w:tc>
        <w:tc>
          <w:tcPr>
            <w:tcW w:w="4962" w:type="dxa"/>
            <w:vAlign w:val="center"/>
          </w:tcPr>
          <w:p w14:paraId="50CC7C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4.6</w:t>
            </w:r>
          </w:p>
        </w:tc>
      </w:tr>
      <w:tr w14:paraId="4ACD286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5B371E2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IP-7</w:t>
            </w:r>
          </w:p>
        </w:tc>
        <w:tc>
          <w:tcPr>
            <w:tcW w:w="4962" w:type="dxa"/>
            <w:vAlign w:val="center"/>
          </w:tcPr>
          <w:p w14:paraId="547A40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3.2</w:t>
            </w:r>
          </w:p>
        </w:tc>
      </w:tr>
      <w:tr w14:paraId="0B17EB5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497A3D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IP-8</w:t>
            </w:r>
          </w:p>
        </w:tc>
        <w:tc>
          <w:tcPr>
            <w:tcW w:w="4962" w:type="dxa"/>
            <w:vAlign w:val="center"/>
          </w:tcPr>
          <w:p w14:paraId="682CC97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5.8</w:t>
            </w:r>
          </w:p>
        </w:tc>
      </w:tr>
      <w:tr w14:paraId="186E60A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5BFFDB6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IP-9</w:t>
            </w:r>
          </w:p>
        </w:tc>
        <w:tc>
          <w:tcPr>
            <w:tcW w:w="4962" w:type="dxa"/>
            <w:vAlign w:val="center"/>
          </w:tcPr>
          <w:p w14:paraId="13A67E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6.4</w:t>
            </w:r>
          </w:p>
        </w:tc>
      </w:tr>
      <w:tr w14:paraId="42A28BF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vAlign w:val="center"/>
          </w:tcPr>
          <w:p w14:paraId="71B5DBF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IP-10</w:t>
            </w:r>
          </w:p>
        </w:tc>
        <w:tc>
          <w:tcPr>
            <w:tcW w:w="4962" w:type="dxa"/>
            <w:tcBorders>
              <w:bottom w:val="single" w:color="auto" w:sz="4" w:space="0"/>
            </w:tcBorders>
            <w:vAlign w:val="center"/>
          </w:tcPr>
          <w:p w14:paraId="105E9AF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7.0</w:t>
            </w:r>
          </w:p>
        </w:tc>
      </w:tr>
    </w:tbl>
    <w:p w14:paraId="62C17D2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抗坏血酸作为天然抗氧化剂，抗坏血酸可减缓脂肪氧化、风味物质降解，维持产品口感稳定性，虽经加工产生一定损失，但仍可保留较高的抗坏血酸含量，通过对大果山楂产品抗坏血酸含量的检测，</w:t>
      </w:r>
      <w:r>
        <w:rPr>
          <w:rFonts w:hint="default" w:ascii="Times New Roman" w:hAnsi="Times New Roman" w:eastAsia="仿宋_GB2312" w:cs="Times New Roman"/>
          <w:sz w:val="32"/>
          <w:szCs w:val="32"/>
          <w:lang w:val="en-US" w:eastAsia="zh-CN"/>
        </w:rPr>
        <w:t>确定</w:t>
      </w:r>
      <w:r>
        <w:rPr>
          <w:rFonts w:hint="eastAsia" w:ascii="Times New Roman" w:hAnsi="Times New Roman" w:cs="Times New Roman"/>
          <w:sz w:val="32"/>
          <w:szCs w:val="32"/>
          <w:lang w:val="en-US" w:eastAsia="zh-CN"/>
        </w:rPr>
        <w:t>抗坏血酸</w:t>
      </w:r>
      <w:r>
        <w:rPr>
          <w:rFonts w:hint="default" w:ascii="Times New Roman" w:hAnsi="Times New Roman" w:cs="Times New Roman"/>
          <w:sz w:val="32"/>
          <w:szCs w:val="32"/>
          <w:lang w:val="en-US" w:eastAsia="zh-CN"/>
        </w:rPr>
        <w:t>含量</w:t>
      </w:r>
      <w:r>
        <w:rPr>
          <w:rFonts w:hint="default" w:ascii="Times New Roman" w:hAnsi="Times New Roman" w:eastAsia="宋体" w:cs="Times New Roman"/>
          <w:sz w:val="32"/>
          <w:szCs w:val="32"/>
          <w:lang w:val="en-US" w:eastAsia="zh-CN"/>
        </w:rPr>
        <w:t>≧</w:t>
      </w:r>
      <w:r>
        <w:rPr>
          <w:rFonts w:hint="eastAsia" w:ascii="Times New Roman" w:hAnsi="Times New Roman" w:eastAsia="宋体" w:cs="Times New Roman"/>
          <w:sz w:val="32"/>
          <w:szCs w:val="32"/>
          <w:lang w:val="en-US" w:eastAsia="zh-CN"/>
        </w:rPr>
        <w:t>3</w:t>
      </w:r>
      <w:r>
        <w:rPr>
          <w:rFonts w:hint="default" w:ascii="Times New Roman" w:hAnsi="Times New Roman" w:eastAsia="宋体" w:cs="Times New Roman"/>
          <w:sz w:val="32"/>
          <w:szCs w:val="32"/>
          <w:lang w:val="en-US" w:eastAsia="zh-CN"/>
        </w:rPr>
        <w:t>.0</w:t>
      </w:r>
      <w:r>
        <w:rPr>
          <w:rFonts w:hint="eastAsia" w:ascii="Times New Roman" w:hAnsi="Times New Roman" w:eastAsia="宋体" w:cs="Times New Roman"/>
          <w:sz w:val="32"/>
          <w:szCs w:val="32"/>
          <w:lang w:val="en-US" w:eastAsia="zh-CN"/>
        </w:rPr>
        <w:t>m</w:t>
      </w:r>
      <w:r>
        <w:rPr>
          <w:rFonts w:hint="default" w:ascii="Times New Roman" w:hAnsi="Times New Roman" w:eastAsia="宋体" w:cs="Times New Roman"/>
          <w:sz w:val="32"/>
          <w:szCs w:val="32"/>
          <w:lang w:val="en-US" w:eastAsia="zh-CN"/>
        </w:rPr>
        <w:t>g/</w:t>
      </w:r>
      <w:r>
        <w:rPr>
          <w:rFonts w:hint="eastAsia" w:ascii="Times New Roman" w:hAnsi="Times New Roman" w:eastAsia="宋体" w:cs="Times New Roman"/>
          <w:sz w:val="32"/>
          <w:szCs w:val="32"/>
          <w:lang w:val="en-US" w:eastAsia="zh-CN"/>
        </w:rPr>
        <w:t>100</w:t>
      </w:r>
      <w:r>
        <w:rPr>
          <w:rFonts w:hint="default" w:ascii="Times New Roman" w:hAnsi="Times New Roman" w:eastAsia="宋体" w:cs="Times New Roman"/>
          <w:sz w:val="32"/>
          <w:szCs w:val="32"/>
          <w:lang w:val="en-US" w:eastAsia="zh-CN"/>
        </w:rPr>
        <w:t>g</w:t>
      </w:r>
      <w:r>
        <w:rPr>
          <w:rFonts w:hint="default" w:ascii="Times New Roman" w:hAnsi="Times New Roman" w:eastAsia="仿宋_GB2312" w:cs="Times New Roman"/>
          <w:sz w:val="32"/>
          <w:szCs w:val="32"/>
          <w:lang w:val="en-US" w:eastAsia="zh-CN"/>
        </w:rPr>
        <w:t>，以保证产品具有良好的</w:t>
      </w:r>
      <w:r>
        <w:rPr>
          <w:rFonts w:hint="eastAsia" w:ascii="Times New Roman" w:hAnsi="Times New Roman" w:cs="Times New Roman"/>
          <w:sz w:val="32"/>
          <w:szCs w:val="32"/>
          <w:lang w:val="en-US" w:eastAsia="zh-CN"/>
        </w:rPr>
        <w:t>营养价值</w:t>
      </w:r>
      <w:r>
        <w:rPr>
          <w:rFonts w:hint="default" w:ascii="Times New Roman" w:hAnsi="Times New Roman" w:eastAsia="仿宋_GB2312" w:cs="Times New Roman"/>
          <w:sz w:val="32"/>
          <w:szCs w:val="32"/>
          <w:lang w:val="en-US" w:eastAsia="zh-CN"/>
        </w:rPr>
        <w:t>。</w:t>
      </w:r>
    </w:p>
    <w:p w14:paraId="262EA40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5.水分</w:t>
      </w:r>
    </w:p>
    <w:p w14:paraId="3C648C7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表</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 xml:space="preserve">  不同批次</w:t>
      </w:r>
      <w:r>
        <w:rPr>
          <w:rFonts w:hint="default" w:ascii="Times New Roman" w:hAnsi="Times New Roman" w:eastAsia="仿宋_GB2312" w:cs="Times New Roman"/>
          <w:sz w:val="32"/>
          <w:szCs w:val="32"/>
          <w:lang w:val="en-US" w:eastAsia="zh-CN"/>
        </w:rPr>
        <w:t>大果山楂</w:t>
      </w:r>
      <w:r>
        <w:rPr>
          <w:rFonts w:hint="eastAsia" w:ascii="Times New Roman" w:hAnsi="Times New Roman" w:cs="Times New Roman"/>
          <w:sz w:val="32"/>
          <w:szCs w:val="32"/>
          <w:lang w:val="en-US" w:eastAsia="zh-CN"/>
        </w:rPr>
        <w:t>原浆水分含量</w:t>
      </w:r>
    </w:p>
    <w:tbl>
      <w:tblPr>
        <w:tblStyle w:val="5"/>
        <w:tblW w:w="7390"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28"/>
        <w:gridCol w:w="4962"/>
      </w:tblGrid>
      <w:tr w14:paraId="2762617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28" w:type="dxa"/>
            <w:tcBorders>
              <w:top w:val="single" w:color="auto" w:sz="4" w:space="0"/>
            </w:tcBorders>
            <w:vAlign w:val="center"/>
          </w:tcPr>
          <w:p w14:paraId="1FD2DF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编号</w:t>
            </w:r>
          </w:p>
        </w:tc>
        <w:tc>
          <w:tcPr>
            <w:tcW w:w="4962" w:type="dxa"/>
            <w:tcBorders>
              <w:top w:val="single" w:color="auto" w:sz="4" w:space="0"/>
            </w:tcBorders>
            <w:vAlign w:val="center"/>
          </w:tcPr>
          <w:p w14:paraId="5D55C8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水分%</w:t>
            </w:r>
          </w:p>
        </w:tc>
      </w:tr>
      <w:tr w14:paraId="0815EF1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4E3ED3F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w:t>
            </w:r>
          </w:p>
        </w:tc>
        <w:tc>
          <w:tcPr>
            <w:tcW w:w="4962" w:type="dxa"/>
            <w:vAlign w:val="center"/>
          </w:tcPr>
          <w:p w14:paraId="48F13F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83.9</w:t>
            </w:r>
          </w:p>
        </w:tc>
      </w:tr>
      <w:tr w14:paraId="20BEF0E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vAlign w:val="center"/>
          </w:tcPr>
          <w:p w14:paraId="66776F0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IP-2</w:t>
            </w:r>
          </w:p>
        </w:tc>
        <w:tc>
          <w:tcPr>
            <w:tcW w:w="4962" w:type="dxa"/>
            <w:tcBorders>
              <w:bottom w:val="single" w:color="auto" w:sz="4" w:space="0"/>
            </w:tcBorders>
            <w:vAlign w:val="center"/>
          </w:tcPr>
          <w:p w14:paraId="75F10C4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85.6</w:t>
            </w:r>
          </w:p>
        </w:tc>
      </w:tr>
      <w:tr w14:paraId="16F543E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top w:val="single" w:color="auto" w:sz="4" w:space="0"/>
            </w:tcBorders>
            <w:vAlign w:val="center"/>
          </w:tcPr>
          <w:p w14:paraId="4BABBBC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IP-3</w:t>
            </w:r>
          </w:p>
        </w:tc>
        <w:tc>
          <w:tcPr>
            <w:tcW w:w="4962" w:type="dxa"/>
            <w:tcBorders>
              <w:top w:val="single" w:color="auto" w:sz="4" w:space="0"/>
            </w:tcBorders>
            <w:vAlign w:val="center"/>
          </w:tcPr>
          <w:p w14:paraId="1D2D3E5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81.4</w:t>
            </w:r>
          </w:p>
        </w:tc>
      </w:tr>
      <w:tr w14:paraId="6694E6C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2B9325D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IP-4</w:t>
            </w:r>
          </w:p>
        </w:tc>
        <w:tc>
          <w:tcPr>
            <w:tcW w:w="4962" w:type="dxa"/>
            <w:vAlign w:val="center"/>
          </w:tcPr>
          <w:p w14:paraId="16B4ED4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84.0</w:t>
            </w:r>
          </w:p>
        </w:tc>
      </w:tr>
      <w:tr w14:paraId="2B27E8E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78DA20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IP-5</w:t>
            </w:r>
          </w:p>
        </w:tc>
        <w:tc>
          <w:tcPr>
            <w:tcW w:w="4962" w:type="dxa"/>
            <w:vAlign w:val="center"/>
          </w:tcPr>
          <w:p w14:paraId="4F3137D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82.5</w:t>
            </w:r>
          </w:p>
        </w:tc>
      </w:tr>
      <w:tr w14:paraId="550CABF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6EFEC2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IP-6</w:t>
            </w:r>
          </w:p>
        </w:tc>
        <w:tc>
          <w:tcPr>
            <w:tcW w:w="4962" w:type="dxa"/>
            <w:vAlign w:val="center"/>
          </w:tcPr>
          <w:p w14:paraId="37DC614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81.9</w:t>
            </w:r>
          </w:p>
        </w:tc>
      </w:tr>
      <w:tr w14:paraId="08C189D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21E99ED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IP-7</w:t>
            </w:r>
          </w:p>
        </w:tc>
        <w:tc>
          <w:tcPr>
            <w:tcW w:w="4962" w:type="dxa"/>
            <w:vAlign w:val="center"/>
          </w:tcPr>
          <w:p w14:paraId="2B64E3F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85.4</w:t>
            </w:r>
          </w:p>
        </w:tc>
      </w:tr>
      <w:tr w14:paraId="7E55E17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31A9CA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IP-8</w:t>
            </w:r>
          </w:p>
        </w:tc>
        <w:tc>
          <w:tcPr>
            <w:tcW w:w="4962" w:type="dxa"/>
            <w:vAlign w:val="center"/>
          </w:tcPr>
          <w:p w14:paraId="5EC4336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82.2</w:t>
            </w:r>
          </w:p>
        </w:tc>
      </w:tr>
      <w:tr w14:paraId="13D9F86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vAlign w:val="center"/>
          </w:tcPr>
          <w:p w14:paraId="2CF531E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IP-9</w:t>
            </w:r>
          </w:p>
        </w:tc>
        <w:tc>
          <w:tcPr>
            <w:tcW w:w="4962" w:type="dxa"/>
            <w:vAlign w:val="center"/>
          </w:tcPr>
          <w:p w14:paraId="37BB42B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83.5</w:t>
            </w:r>
          </w:p>
        </w:tc>
      </w:tr>
      <w:tr w14:paraId="3E0C7FA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vAlign w:val="center"/>
          </w:tcPr>
          <w:p w14:paraId="6B91B50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IP-10</w:t>
            </w:r>
          </w:p>
        </w:tc>
        <w:tc>
          <w:tcPr>
            <w:tcW w:w="4962" w:type="dxa"/>
            <w:tcBorders>
              <w:bottom w:val="single" w:color="auto" w:sz="4" w:space="0"/>
            </w:tcBorders>
            <w:vAlign w:val="center"/>
          </w:tcPr>
          <w:p w14:paraId="31DC471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82.9</w:t>
            </w:r>
          </w:p>
        </w:tc>
      </w:tr>
    </w:tbl>
    <w:p w14:paraId="2A63218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水分</w:t>
      </w:r>
      <w:r>
        <w:rPr>
          <w:rFonts w:hint="default" w:ascii="Times New Roman" w:hAnsi="Times New Roman" w:eastAsia="仿宋_GB2312" w:cs="Times New Roman"/>
          <w:sz w:val="32"/>
          <w:szCs w:val="32"/>
          <w:lang w:val="en-US" w:eastAsia="zh-CN"/>
        </w:rPr>
        <w:t>含量直接影响</w:t>
      </w:r>
      <w:r>
        <w:rPr>
          <w:rFonts w:hint="eastAsia" w:ascii="Times New Roman" w:hAnsi="Times New Roman" w:cs="Times New Roman"/>
          <w:sz w:val="32"/>
          <w:szCs w:val="32"/>
          <w:lang w:val="en-US" w:eastAsia="zh-CN"/>
        </w:rPr>
        <w:t>大果山楂</w:t>
      </w:r>
      <w:r>
        <w:rPr>
          <w:rFonts w:hint="default" w:ascii="Times New Roman" w:hAnsi="Times New Roman" w:eastAsia="仿宋_GB2312" w:cs="Times New Roman"/>
          <w:sz w:val="32"/>
          <w:szCs w:val="32"/>
          <w:lang w:val="en-US" w:eastAsia="zh-CN"/>
        </w:rPr>
        <w:t>原浆的黏稠度和流动性</w:t>
      </w:r>
      <w:r>
        <w:rPr>
          <w:rFonts w:hint="eastAsia" w:ascii="Times New Roman" w:hAnsi="Times New Roman" w:cs="Times New Roman"/>
          <w:sz w:val="32"/>
          <w:szCs w:val="32"/>
          <w:lang w:val="en-US" w:eastAsia="zh-CN"/>
        </w:rPr>
        <w:t>，</w:t>
      </w:r>
      <w:r>
        <w:rPr>
          <w:rFonts w:hint="eastAsia" w:ascii="Times New Roman" w:hAnsi="Times New Roman"/>
          <w:szCs w:val="32"/>
        </w:rPr>
        <w:t>当水分＞86% 时，浆体易出现分层或析水现象</w:t>
      </w:r>
      <w:r>
        <w:rPr>
          <w:rFonts w:hint="eastAsia" w:ascii="Times New Roman" w:hAnsi="Times New Roman"/>
          <w:szCs w:val="32"/>
          <w:lang w:eastAsia="zh-CN"/>
        </w:rPr>
        <w:t>，</w:t>
      </w:r>
      <w:r>
        <w:rPr>
          <w:rFonts w:hint="eastAsia" w:ascii="Times New Roman" w:hAnsi="Times New Roman"/>
          <w:szCs w:val="32"/>
          <w:lang w:val="en-US" w:eastAsia="zh-CN"/>
        </w:rPr>
        <w:t>而</w:t>
      </w:r>
      <w:r>
        <w:rPr>
          <w:rFonts w:hint="eastAsia" w:ascii="Times New Roman" w:hAnsi="Times New Roman"/>
          <w:szCs w:val="32"/>
        </w:rPr>
        <w:t>水分</w:t>
      </w:r>
      <w:r>
        <w:rPr>
          <w:rFonts w:hint="eastAsia" w:ascii="宋体" w:hAnsi="宋体" w:eastAsia="宋体" w:cs="宋体"/>
          <w:szCs w:val="32"/>
        </w:rPr>
        <w:t>≦</w:t>
      </w:r>
      <w:r>
        <w:rPr>
          <w:rFonts w:hint="eastAsia" w:ascii="Times New Roman" w:hAnsi="Times New Roman"/>
          <w:szCs w:val="32"/>
        </w:rPr>
        <w:t>86%可确保原浆在食品加工中保持泥</w:t>
      </w:r>
      <w:r>
        <w:rPr>
          <w:rFonts w:hint="eastAsia" w:ascii="Times New Roman" w:hAnsi="Times New Roman"/>
          <w:szCs w:val="32"/>
          <w:lang w:val="en-US" w:eastAsia="zh-CN"/>
        </w:rPr>
        <w:t>浆</w:t>
      </w:r>
      <w:r>
        <w:rPr>
          <w:rFonts w:hint="eastAsia" w:ascii="Times New Roman" w:hAnsi="Times New Roman"/>
          <w:szCs w:val="32"/>
        </w:rPr>
        <w:t>状态，避免因过稀导致产品结构坍塌。</w:t>
      </w:r>
      <w:r>
        <w:rPr>
          <w:rFonts w:hint="eastAsia" w:ascii="Times New Roman" w:hAnsi="Times New Roman"/>
          <w:szCs w:val="32"/>
          <w:lang w:val="en-US" w:eastAsia="zh-CN"/>
        </w:rPr>
        <w:t>故</w:t>
      </w:r>
      <w:r>
        <w:rPr>
          <w:rFonts w:hint="default" w:ascii="Times New Roman" w:hAnsi="Times New Roman" w:eastAsia="仿宋_GB2312" w:cs="Times New Roman"/>
          <w:sz w:val="32"/>
          <w:szCs w:val="32"/>
          <w:lang w:val="en-US" w:eastAsia="zh-CN"/>
        </w:rPr>
        <w:t>确定</w:t>
      </w:r>
      <w:r>
        <w:rPr>
          <w:rFonts w:hint="eastAsia" w:ascii="Times New Roman" w:hAnsi="Times New Roman" w:cs="Times New Roman"/>
          <w:sz w:val="32"/>
          <w:szCs w:val="32"/>
          <w:lang w:val="en-US" w:eastAsia="zh-CN"/>
        </w:rPr>
        <w:t>水分</w:t>
      </w:r>
      <w:r>
        <w:rPr>
          <w:rFonts w:hint="default" w:ascii="Times New Roman" w:hAnsi="Times New Roman" w:cs="Times New Roman"/>
          <w:sz w:val="32"/>
          <w:szCs w:val="32"/>
          <w:lang w:val="en-US" w:eastAsia="zh-CN"/>
        </w:rPr>
        <w:t>含量</w:t>
      </w:r>
      <w:r>
        <w:rPr>
          <w:rFonts w:hint="eastAsia" w:ascii="宋体" w:hAnsi="宋体" w:eastAsia="宋体" w:cs="宋体"/>
          <w:sz w:val="32"/>
          <w:szCs w:val="32"/>
          <w:lang w:val="en-US" w:eastAsia="zh-CN"/>
        </w:rPr>
        <w:t>≦</w:t>
      </w:r>
      <w:r>
        <w:rPr>
          <w:rFonts w:hint="eastAsia" w:ascii="Times New Roman" w:hAnsi="Times New Roman" w:eastAsia="宋体" w:cs="Times New Roman"/>
          <w:sz w:val="32"/>
          <w:szCs w:val="32"/>
          <w:lang w:val="en-US" w:eastAsia="zh-CN"/>
        </w:rPr>
        <w:t>86%</w:t>
      </w:r>
      <w:r>
        <w:rPr>
          <w:rFonts w:hint="default" w:ascii="Times New Roman" w:hAnsi="Times New Roman" w:eastAsia="仿宋_GB2312" w:cs="Times New Roman"/>
          <w:sz w:val="32"/>
          <w:szCs w:val="32"/>
          <w:lang w:val="en-US" w:eastAsia="zh-CN"/>
        </w:rPr>
        <w:t>，以保证产品具有良好的</w:t>
      </w:r>
      <w:r>
        <w:rPr>
          <w:rFonts w:hint="eastAsia" w:ascii="Times New Roman" w:hAnsi="Times New Roman" w:cs="Times New Roman"/>
          <w:sz w:val="32"/>
          <w:szCs w:val="32"/>
          <w:lang w:val="en-US" w:eastAsia="zh-CN"/>
        </w:rPr>
        <w:t>形态稳定性</w:t>
      </w:r>
      <w:r>
        <w:rPr>
          <w:rFonts w:hint="default" w:ascii="Times New Roman" w:hAnsi="Times New Roman" w:eastAsia="仿宋_GB2312" w:cs="Times New Roman"/>
          <w:sz w:val="32"/>
          <w:szCs w:val="32"/>
          <w:lang w:val="en-US" w:eastAsia="zh-CN"/>
        </w:rPr>
        <w:t>。</w:t>
      </w:r>
    </w:p>
    <w:p w14:paraId="2330B123">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六</w:t>
      </w:r>
      <w:r>
        <w:rPr>
          <w:rFonts w:hint="eastAsia" w:ascii="楷体_GB2312" w:hAnsi="楷体_GB2312" w:eastAsia="楷体_GB2312" w:cs="楷体_GB2312"/>
          <w:b/>
          <w:bCs/>
          <w:sz w:val="32"/>
          <w:szCs w:val="32"/>
        </w:rPr>
        <w:t>）安全指标</w:t>
      </w:r>
    </w:p>
    <w:p w14:paraId="578F2D7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根据</w:t>
      </w:r>
      <w:r>
        <w:rPr>
          <w:rFonts w:hint="default" w:ascii="Times New Roman" w:hAnsi="Times New Roman" w:eastAsia="仿宋_GB2312" w:cs="Times New Roman"/>
          <w:sz w:val="32"/>
          <w:szCs w:val="32"/>
          <w:lang w:val="en-US" w:eastAsia="zh-CN"/>
        </w:rPr>
        <w:t>国家法律对饮料类产品的强制要求</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微生物限量、真菌毒素限量、污染物限量、农药残留应符合GB 7101。</w:t>
      </w:r>
    </w:p>
    <w:p w14:paraId="5C4943B9">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（七）包装、运输和贮存方面的要求</w:t>
      </w:r>
    </w:p>
    <w:p w14:paraId="1D0DEB0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大果山楂原浆</w:t>
      </w:r>
      <w:r>
        <w:rPr>
          <w:rFonts w:hint="default" w:ascii="Times New Roman" w:hAnsi="Times New Roman" w:eastAsia="仿宋_GB2312" w:cs="Times New Roman"/>
          <w:sz w:val="32"/>
          <w:szCs w:val="32"/>
          <w:lang w:val="en-US" w:eastAsia="zh-CN"/>
        </w:rPr>
        <w:t>应采用符合食品安全标准的包装材料进行包装，</w:t>
      </w:r>
      <w:r>
        <w:rPr>
          <w:rFonts w:hint="eastAsia" w:ascii="Times New Roman" w:hAnsi="Times New Roman" w:cs="Times New Roman"/>
          <w:sz w:val="32"/>
          <w:szCs w:val="32"/>
          <w:lang w:val="en-US" w:eastAsia="zh-CN"/>
        </w:rPr>
        <w:t>且</w:t>
      </w:r>
      <w:r>
        <w:rPr>
          <w:rFonts w:hint="default" w:ascii="Times New Roman" w:hAnsi="Times New Roman" w:eastAsia="仿宋_GB2312" w:cs="Times New Roman"/>
          <w:sz w:val="32"/>
          <w:szCs w:val="32"/>
          <w:lang w:val="en-US" w:eastAsia="zh-CN"/>
        </w:rPr>
        <w:t>清洁、干燥、密封良好，标签标识符合GB 7718《食品安全国家标准 预包装食品标签通则》</w:t>
      </w:r>
      <w:r>
        <w:rPr>
          <w:rFonts w:hint="eastAsia" w:ascii="Times New Roman" w:hAnsi="Times New Roman" w:cs="Times New Roman"/>
          <w:sz w:val="32"/>
          <w:szCs w:val="32"/>
          <w:lang w:val="en-US" w:eastAsia="zh-CN"/>
        </w:rPr>
        <w:t>和《GB 28050-2011 食品安全国家标准 预包装食品营养标签通则》</w:t>
      </w:r>
      <w:r>
        <w:rPr>
          <w:rFonts w:hint="default" w:ascii="Times New Roman" w:hAnsi="Times New Roman" w:eastAsia="仿宋_GB2312" w:cs="Times New Roman"/>
          <w:sz w:val="32"/>
          <w:szCs w:val="32"/>
          <w:lang w:val="en-US" w:eastAsia="zh-CN"/>
        </w:rPr>
        <w:t>的规定，有助于消费者了解产品信息，保障消费者的知情权和选择权，同时也符合市场监管要求。</w:t>
      </w:r>
    </w:p>
    <w:p w14:paraId="441AD0D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为</w:t>
      </w:r>
      <w:r>
        <w:rPr>
          <w:rFonts w:hint="default" w:ascii="Times New Roman" w:hAnsi="Times New Roman" w:eastAsia="仿宋_GB2312" w:cs="Times New Roman"/>
          <w:sz w:val="32"/>
          <w:szCs w:val="32"/>
          <w:lang w:val="en-US" w:eastAsia="zh-CN"/>
        </w:rPr>
        <w:t>防止产品在运输过程中受到污染，影响产品质量。日晒、雨淋可能导致产品包装损坏、变质等问题</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运输过程中要</w:t>
      </w:r>
      <w:r>
        <w:rPr>
          <w:rFonts w:hint="eastAsia" w:ascii="Times New Roman" w:hAnsi="Times New Roman" w:cs="Times New Roman"/>
          <w:sz w:val="32"/>
          <w:szCs w:val="32"/>
          <w:lang w:val="en-US" w:eastAsia="zh-CN"/>
        </w:rPr>
        <w:t>求</w:t>
      </w:r>
      <w:r>
        <w:rPr>
          <w:rFonts w:hint="default" w:ascii="Times New Roman" w:hAnsi="Times New Roman" w:eastAsia="仿宋_GB2312" w:cs="Times New Roman"/>
          <w:sz w:val="32"/>
          <w:szCs w:val="32"/>
          <w:lang w:val="en-US" w:eastAsia="zh-CN"/>
        </w:rPr>
        <w:t>防暴晒、防雨淋、防潮，严禁与有毒、有异味的物品混装</w:t>
      </w:r>
      <w:r>
        <w:rPr>
          <w:rFonts w:hint="eastAsia" w:ascii="Times New Roman" w:hAnsi="Times New Roman" w:cs="Times New Roman"/>
          <w:sz w:val="32"/>
          <w:szCs w:val="32"/>
          <w:lang w:val="en-US" w:eastAsia="zh-CN"/>
        </w:rPr>
        <w:t>，且</w:t>
      </w:r>
      <w:r>
        <w:rPr>
          <w:rFonts w:hint="eastAsia"/>
          <w:lang w:val="en-US" w:eastAsia="zh-CN"/>
        </w:rPr>
        <w:t>禁用受污染的运输工具装载，</w:t>
      </w:r>
      <w:r>
        <w:rPr>
          <w:rFonts w:hint="default" w:ascii="Times New Roman" w:hAnsi="Times New Roman" w:eastAsia="仿宋_GB2312" w:cs="Times New Roman"/>
          <w:sz w:val="32"/>
          <w:szCs w:val="32"/>
          <w:lang w:val="en-US" w:eastAsia="zh-CN"/>
        </w:rPr>
        <w:t>符合食品运输的一般原则和行业规范。</w:t>
      </w:r>
    </w:p>
    <w:p w14:paraId="29DF184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适宜的温度条件有助于保持产品的稳定性，延长产品的保质期。</w:t>
      </w:r>
      <w:r>
        <w:rPr>
          <w:rFonts w:hint="eastAsia" w:ascii="Times New Roman" w:hAnsi="Times New Roman" w:cs="Times New Roman"/>
          <w:sz w:val="32"/>
          <w:szCs w:val="32"/>
          <w:lang w:val="en-US" w:eastAsia="zh-CN"/>
        </w:rPr>
        <w:t>为保障产品贮存过程中不受污染，根</w:t>
      </w:r>
      <w:r>
        <w:rPr>
          <w:rFonts w:hint="default" w:ascii="Times New Roman" w:hAnsi="Times New Roman" w:eastAsia="仿宋_GB2312" w:cs="Times New Roman"/>
          <w:sz w:val="32"/>
          <w:szCs w:val="32"/>
          <w:lang w:val="en-US" w:eastAsia="zh-CN"/>
        </w:rPr>
        <w:t>据大果山楂</w:t>
      </w:r>
      <w:r>
        <w:rPr>
          <w:rFonts w:hint="eastAsia" w:ascii="Times New Roman" w:hAnsi="Times New Roman" w:cs="Times New Roman"/>
          <w:sz w:val="32"/>
          <w:szCs w:val="32"/>
          <w:lang w:val="en-US" w:eastAsia="zh-CN"/>
        </w:rPr>
        <w:t>原浆</w:t>
      </w:r>
      <w:r>
        <w:rPr>
          <w:rFonts w:hint="default" w:ascii="Times New Roman" w:hAnsi="Times New Roman" w:eastAsia="仿宋_GB2312" w:cs="Times New Roman"/>
          <w:sz w:val="32"/>
          <w:szCs w:val="32"/>
          <w:lang w:val="en-US" w:eastAsia="zh-CN"/>
        </w:rPr>
        <w:t>的特性以及食品贮存的相关标准和经验</w:t>
      </w:r>
      <w:r>
        <w:rPr>
          <w:rFonts w:hint="eastAsia" w:ascii="Times New Roman" w:hAnsi="Times New Roman" w:cs="Times New Roman"/>
          <w:sz w:val="32"/>
          <w:szCs w:val="32"/>
          <w:lang w:val="en-US" w:eastAsia="zh-CN"/>
        </w:rPr>
        <w:t>规定大果山楂原浆产品应</w:t>
      </w:r>
      <w:r>
        <w:rPr>
          <w:rFonts w:hint="eastAsia"/>
          <w:lang w:val="en-US" w:eastAsia="zh-CN"/>
        </w:rPr>
        <w:t>贮存在4℃以下，且严禁与有毒、有异味的物品混贮。</w:t>
      </w:r>
    </w:p>
    <w:p w14:paraId="717AD6FF"/>
    <w:sectPr>
      <w:footerReference r:id="rId3" w:type="default"/>
      <w:pgSz w:w="11906" w:h="16838"/>
      <w:pgMar w:top="2098" w:right="1474" w:bottom="1984" w:left="1587" w:header="1417" w:footer="141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B5EC86-34F6-488F-9268-516934D92A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EDE0ECE-19C0-4FD9-B3BE-AE7E4E823EA2}"/>
  </w:font>
  <w:font w:name="仿宋_GB2312">
    <w:panose1 w:val="02010609030101010101"/>
    <w:charset w:val="86"/>
    <w:family w:val="auto"/>
    <w:pitch w:val="default"/>
    <w:sig w:usb0="00000001" w:usb1="080E0000" w:usb2="00000000" w:usb3="00000000" w:csb0="00040000" w:csb1="00000000"/>
    <w:embedRegular r:id="rId3" w:fontKey="{F0D10FE9-5445-4678-BD12-A529BF580F57}"/>
  </w:font>
  <w:font w:name="方正小标宋简体">
    <w:panose1 w:val="02000000000000000000"/>
    <w:charset w:val="86"/>
    <w:family w:val="auto"/>
    <w:pitch w:val="default"/>
    <w:sig w:usb0="00000001" w:usb1="08000000" w:usb2="00000000" w:usb3="00000000" w:csb0="00040000" w:csb1="00000000"/>
    <w:embedRegular r:id="rId4" w:fontKey="{DAC44CC3-BAE6-4F8E-9069-CCA2C7EBC412}"/>
  </w:font>
  <w:font w:name="楷体_GB2312">
    <w:panose1 w:val="02010609030101010101"/>
    <w:charset w:val="86"/>
    <w:family w:val="auto"/>
    <w:pitch w:val="default"/>
    <w:sig w:usb0="00000001" w:usb1="080E0000" w:usb2="00000000" w:usb3="00000000" w:csb0="00040000" w:csb1="00000000"/>
    <w:embedRegular r:id="rId5" w:fontKey="{FB86D03C-C110-4E7A-8A92-F4702DFA8616}"/>
  </w:font>
  <w:font w:name="仿宋">
    <w:panose1 w:val="02010609060101010101"/>
    <w:charset w:val="86"/>
    <w:family w:val="modern"/>
    <w:pitch w:val="default"/>
    <w:sig w:usb0="800002BF" w:usb1="38CF7CFA" w:usb2="00000016" w:usb3="00000000" w:csb0="00040001" w:csb1="00000000"/>
    <w:embedRegular r:id="rId6" w:fontKey="{E43F3A1D-E60A-4650-92CC-680DC5DBDC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F9E4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0565B6">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00565B6">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CF5C24"/>
    <w:rsid w:val="503C55AF"/>
    <w:rsid w:val="5A4977B6"/>
    <w:rsid w:val="713179EB"/>
    <w:rsid w:val="74EC0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paragraph" w:customStyle="1"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6345</Words>
  <Characters>7030</Characters>
  <Lines>0</Lines>
  <Paragraphs>0</Paragraphs>
  <TotalTime>8</TotalTime>
  <ScaleCrop>false</ScaleCrop>
  <LinksUpToDate>false</LinksUpToDate>
  <CharactersWithSpaces>7112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2025-02-26T20:46:00Z</dcterms:created>
  <dc:creator>高璇</dc:creator>
  <cp:lastModifiedBy>军集</cp:lastModifiedBy>
  <dcterms:modified xsi:type="dcterms:W3CDTF">2025-03-27T01:02:45Z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5098D6A9D2D14C688ADDF2CCDEA800FF_11</vt:lpwstr>
  </property>
  <property fmtid="{D5CDD505-2E9C-101B-9397-08002B2CF9AE}" pid="4" name="KSOTemplateDocerSaveRecord">
    <vt:lpwstr>eyJoZGlkIjoiYThlZTBmNWUwYzdiOWUzYmU4NzViODBjYjJjMTRiMjQiLCJ1c2VySWQiOiI1NzI1NjQ1MzEifQ==</vt:lpwstr>
  </property>
</Properties>
</file>